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theme/themeOverride10.xml" ContentType="application/vnd.openxmlformats-officedocument.themeOverride+xml"/>
  <Override PartName="/word/charts/chart11.xml" ContentType="application/vnd.openxmlformats-officedocument.drawingml.chart+xml"/>
  <Override PartName="/word/theme/themeOverride11.xml" ContentType="application/vnd.openxmlformats-officedocument.themeOverride+xml"/>
  <Override PartName="/word/charts/chart12.xml" ContentType="application/vnd.openxmlformats-officedocument.drawingml.chart+xml"/>
  <Override PartName="/word/theme/themeOverride12.xml" ContentType="application/vnd.openxmlformats-officedocument.themeOverride+xml"/>
  <Override PartName="/word/charts/chart13.xml" ContentType="application/vnd.openxmlformats-officedocument.drawingml.chart+xml"/>
  <Override PartName="/word/theme/themeOverride13.xml" ContentType="application/vnd.openxmlformats-officedocument.themeOverride+xml"/>
  <Override PartName="/word/charts/chart14.xml" ContentType="application/vnd.openxmlformats-officedocument.drawingml.chart+xml"/>
  <Override PartName="/word/theme/themeOverride14.xml" ContentType="application/vnd.openxmlformats-officedocument.themeOverride+xml"/>
  <Override PartName="/word/charts/chart15.xml" ContentType="application/vnd.openxmlformats-officedocument.drawingml.chart+xml"/>
  <Override PartName="/word/theme/themeOverride15.xml" ContentType="application/vnd.openxmlformats-officedocument.themeOverride+xml"/>
  <Override PartName="/word/charts/chart16.xml" ContentType="application/vnd.openxmlformats-officedocument.drawingml.chart+xml"/>
  <Override PartName="/word/theme/themeOverride16.xml" ContentType="application/vnd.openxmlformats-officedocument.themeOverride+xml"/>
  <Override PartName="/word/charts/chart17.xml" ContentType="application/vnd.openxmlformats-officedocument.drawingml.chart+xml"/>
  <Override PartName="/word/theme/themeOverride17.xml" ContentType="application/vnd.openxmlformats-officedocument.themeOverride+xml"/>
  <Override PartName="/word/drawings/drawing1.xml" ContentType="application/vnd.openxmlformats-officedocument.drawingml.chartshapes+xml"/>
  <Override PartName="/word/charts/chart18.xml" ContentType="application/vnd.openxmlformats-officedocument.drawingml.chart+xml"/>
  <Override PartName="/word/theme/themeOverride18.xml" ContentType="application/vnd.openxmlformats-officedocument.themeOverride+xml"/>
  <Override PartName="/word/charts/chart19.xml" ContentType="application/vnd.openxmlformats-officedocument.drawingml.chart+xml"/>
  <Override PartName="/word/theme/themeOverride19.xml" ContentType="application/vnd.openxmlformats-officedocument.themeOverrid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F0AA4" w:rsidRPr="001B2353" w:rsidRDefault="007F0AA4" w:rsidP="007F0AA4">
      <w:pPr>
        <w:spacing w:line="360" w:lineRule="auto"/>
        <w:jc w:val="both"/>
        <w:rPr>
          <w:rFonts w:asciiTheme="minorHAnsi" w:hAnsiTheme="minorHAnsi"/>
          <w:sz w:val="22"/>
          <w:szCs w:val="22"/>
        </w:rPr>
      </w:pPr>
      <w:r w:rsidRPr="001B2353">
        <w:rPr>
          <w:rFonts w:asciiTheme="minorHAnsi" w:hAnsiTheme="minorHAnsi"/>
          <w:sz w:val="22"/>
          <w:szCs w:val="22"/>
        </w:rPr>
        <w:tab/>
      </w:r>
      <w:r w:rsidRPr="001B2353">
        <w:rPr>
          <w:rFonts w:asciiTheme="minorHAnsi" w:hAnsiTheme="minorHAnsi"/>
          <w:sz w:val="22"/>
          <w:szCs w:val="22"/>
        </w:rPr>
        <w:tab/>
      </w:r>
      <w:r w:rsidRPr="001B2353">
        <w:rPr>
          <w:rFonts w:asciiTheme="minorHAnsi" w:hAnsiTheme="minorHAnsi"/>
          <w:sz w:val="22"/>
          <w:szCs w:val="22"/>
        </w:rPr>
        <w:tab/>
      </w:r>
      <w:r w:rsidRPr="001B2353">
        <w:rPr>
          <w:rFonts w:asciiTheme="minorHAnsi" w:hAnsiTheme="minorHAnsi"/>
          <w:sz w:val="22"/>
          <w:szCs w:val="22"/>
        </w:rPr>
        <w:tab/>
      </w:r>
      <w:r w:rsidRPr="001B2353">
        <w:rPr>
          <w:rFonts w:asciiTheme="minorHAnsi" w:hAnsiTheme="minorHAnsi"/>
          <w:sz w:val="22"/>
          <w:szCs w:val="22"/>
        </w:rPr>
        <w:tab/>
      </w:r>
      <w:r w:rsidR="0003030E">
        <w:rPr>
          <w:rFonts w:asciiTheme="minorHAnsi" w:hAnsiTheme="minorHAnsi"/>
          <w:noProof/>
          <w:sz w:val="22"/>
          <w:szCs w:val="22"/>
          <w:lang w:eastAsia="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377.45pt;margin-top:-8.6pt;width:84.25pt;height:96pt;z-index:-251656192;mso-position-horizontal-relative:text;mso-position-vertical-relative:text">
            <v:imagedata r:id="rId8" o:title=""/>
          </v:shape>
          <o:OLEObject Type="Embed" ProgID="CorelDraw.Graphic.7" ShapeID="_x0000_s1026" DrawAspect="Content" ObjectID="_1457157155" r:id="rId9"/>
        </w:pict>
      </w:r>
      <w:r w:rsidR="0003030E">
        <w:rPr>
          <w:rFonts w:asciiTheme="minorHAnsi" w:hAnsiTheme="minorHAnsi"/>
          <w:noProof/>
          <w:sz w:val="22"/>
          <w:szCs w:val="22"/>
          <w:lang w:eastAsia="en-US"/>
        </w:rPr>
        <w:pict>
          <v:shape id="_x0000_s1027" type="#_x0000_t75" style="position:absolute;left:0;text-align:left;margin-left:-7.1pt;margin-top:-12.45pt;width:75.75pt;height:88.5pt;z-index:-251655168;mso-position-horizontal-relative:text;mso-position-vertical-relative:text">
            <v:imagedata r:id="rId10" o:title=""/>
          </v:shape>
          <o:OLEObject Type="Embed" ProgID="CorelDraw.Graphic.7" ShapeID="_x0000_s1027" DrawAspect="Content" ObjectID="_1457157156" r:id="rId11"/>
        </w:pict>
      </w:r>
      <w:r w:rsidRPr="001B2353">
        <w:rPr>
          <w:rFonts w:asciiTheme="minorHAnsi" w:hAnsiTheme="minorHAnsi"/>
          <w:sz w:val="22"/>
          <w:szCs w:val="22"/>
        </w:rPr>
        <w:tab/>
      </w:r>
    </w:p>
    <w:p w:rsidR="007F0AA4" w:rsidRPr="001B2353" w:rsidRDefault="007F0AA4" w:rsidP="007F0AA4">
      <w:pPr>
        <w:spacing w:line="360" w:lineRule="auto"/>
        <w:jc w:val="both"/>
        <w:rPr>
          <w:rFonts w:asciiTheme="minorHAnsi" w:hAnsiTheme="minorHAnsi"/>
          <w:sz w:val="22"/>
          <w:szCs w:val="22"/>
        </w:rPr>
      </w:pPr>
      <w:r w:rsidRPr="001B2353">
        <w:rPr>
          <w:rFonts w:asciiTheme="minorHAnsi" w:hAnsiTheme="minorHAnsi"/>
          <w:sz w:val="22"/>
          <w:szCs w:val="22"/>
        </w:rPr>
        <w:tab/>
      </w:r>
      <w:r w:rsidRPr="001B2353">
        <w:rPr>
          <w:rFonts w:asciiTheme="minorHAnsi" w:hAnsiTheme="minorHAnsi"/>
          <w:sz w:val="22"/>
          <w:szCs w:val="22"/>
        </w:rPr>
        <w:tab/>
      </w:r>
    </w:p>
    <w:p w:rsidR="007F0AA4" w:rsidRPr="001B2353" w:rsidRDefault="007F0AA4" w:rsidP="007F0AA4">
      <w:pPr>
        <w:spacing w:line="360" w:lineRule="auto"/>
        <w:jc w:val="both"/>
        <w:rPr>
          <w:rFonts w:asciiTheme="minorHAnsi" w:hAnsiTheme="minorHAnsi"/>
          <w:sz w:val="22"/>
          <w:szCs w:val="22"/>
        </w:rPr>
      </w:pPr>
    </w:p>
    <w:p w:rsidR="007F0AA4" w:rsidRPr="001B2353" w:rsidRDefault="007F0AA4" w:rsidP="007F0AA4">
      <w:pPr>
        <w:spacing w:line="360" w:lineRule="auto"/>
        <w:jc w:val="both"/>
        <w:rPr>
          <w:rFonts w:asciiTheme="minorHAnsi" w:hAnsiTheme="minorHAnsi"/>
          <w:sz w:val="22"/>
          <w:szCs w:val="22"/>
        </w:rPr>
      </w:pPr>
    </w:p>
    <w:p w:rsidR="007F0AA4" w:rsidRPr="001B2353" w:rsidRDefault="007F0AA4" w:rsidP="007F0AA4">
      <w:pPr>
        <w:spacing w:line="360" w:lineRule="auto"/>
        <w:jc w:val="both"/>
        <w:rPr>
          <w:rFonts w:asciiTheme="minorHAnsi" w:hAnsiTheme="minorHAnsi"/>
          <w:sz w:val="22"/>
          <w:szCs w:val="22"/>
        </w:rPr>
      </w:pPr>
    </w:p>
    <w:p w:rsidR="007F0AA4" w:rsidRPr="001B2353" w:rsidRDefault="00B97578" w:rsidP="007F0AA4">
      <w:pPr>
        <w:spacing w:line="360" w:lineRule="auto"/>
        <w:jc w:val="both"/>
        <w:rPr>
          <w:rFonts w:asciiTheme="minorHAnsi" w:hAnsiTheme="minorHAnsi"/>
          <w:sz w:val="22"/>
          <w:szCs w:val="22"/>
        </w:rPr>
      </w:pPr>
      <w:r>
        <w:rPr>
          <w:rFonts w:asciiTheme="minorHAnsi" w:hAnsiTheme="minorHAnsi"/>
          <w:sz w:val="22"/>
          <w:szCs w:val="22"/>
        </w:rPr>
        <w:tab/>
      </w:r>
      <w:r>
        <w:rPr>
          <w:rFonts w:asciiTheme="minorHAnsi" w:hAnsiTheme="minorHAnsi"/>
          <w:sz w:val="22"/>
          <w:szCs w:val="22"/>
        </w:rPr>
        <w:tab/>
      </w:r>
      <w:r>
        <w:rPr>
          <w:rFonts w:asciiTheme="minorHAnsi" w:hAnsiTheme="minorHAnsi"/>
          <w:sz w:val="22"/>
          <w:szCs w:val="22"/>
        </w:rPr>
        <w:tab/>
      </w:r>
      <w:r>
        <w:rPr>
          <w:rFonts w:asciiTheme="minorHAnsi" w:hAnsiTheme="minorHAnsi"/>
          <w:sz w:val="22"/>
          <w:szCs w:val="22"/>
        </w:rPr>
        <w:tab/>
      </w:r>
      <w:r>
        <w:rPr>
          <w:rFonts w:asciiTheme="minorHAnsi" w:hAnsiTheme="minorHAnsi"/>
          <w:sz w:val="22"/>
          <w:szCs w:val="22"/>
        </w:rPr>
        <w:tab/>
      </w:r>
      <w:r>
        <w:rPr>
          <w:rFonts w:asciiTheme="minorHAnsi" w:hAnsiTheme="minorHAnsi"/>
          <w:sz w:val="22"/>
          <w:szCs w:val="22"/>
        </w:rPr>
        <w:tab/>
      </w:r>
      <w:r>
        <w:rPr>
          <w:rFonts w:asciiTheme="minorHAnsi" w:hAnsiTheme="minorHAnsi"/>
          <w:sz w:val="22"/>
          <w:szCs w:val="22"/>
        </w:rPr>
        <w:tab/>
      </w:r>
      <w:bookmarkStart w:id="0" w:name="_GoBack"/>
      <w:bookmarkEnd w:id="0"/>
      <w:r w:rsidR="007F0AA4" w:rsidRPr="001B2353">
        <w:rPr>
          <w:rFonts w:asciiTheme="minorHAnsi" w:hAnsiTheme="minorHAnsi"/>
          <w:b/>
          <w:sz w:val="22"/>
          <w:szCs w:val="22"/>
        </w:rPr>
        <w:t>Załącznik do uchwały nr</w:t>
      </w:r>
      <w:r w:rsidR="004966EC" w:rsidRPr="001B2353">
        <w:rPr>
          <w:rFonts w:asciiTheme="minorHAnsi" w:hAnsiTheme="minorHAnsi"/>
          <w:b/>
          <w:sz w:val="22"/>
          <w:szCs w:val="22"/>
        </w:rPr>
        <w:t xml:space="preserve"> </w:t>
      </w:r>
      <w:r>
        <w:rPr>
          <w:rFonts w:asciiTheme="minorHAnsi" w:hAnsiTheme="minorHAnsi"/>
          <w:b/>
          <w:sz w:val="22"/>
          <w:szCs w:val="22"/>
        </w:rPr>
        <w:t>5465</w:t>
      </w:r>
      <w:r w:rsidR="004966EC" w:rsidRPr="001B2353">
        <w:rPr>
          <w:rFonts w:asciiTheme="minorHAnsi" w:hAnsiTheme="minorHAnsi"/>
          <w:b/>
          <w:sz w:val="22"/>
          <w:szCs w:val="22"/>
        </w:rPr>
        <w:t>/</w:t>
      </w:r>
      <w:r>
        <w:rPr>
          <w:rFonts w:asciiTheme="minorHAnsi" w:hAnsiTheme="minorHAnsi"/>
          <w:b/>
          <w:sz w:val="22"/>
          <w:szCs w:val="22"/>
        </w:rPr>
        <w:t>IV</w:t>
      </w:r>
      <w:r w:rsidR="004966EC" w:rsidRPr="001B2353">
        <w:rPr>
          <w:rFonts w:asciiTheme="minorHAnsi" w:hAnsiTheme="minorHAnsi"/>
          <w:b/>
          <w:sz w:val="22"/>
          <w:szCs w:val="22"/>
        </w:rPr>
        <w:t>/1</w:t>
      </w:r>
      <w:r w:rsidR="005B69C8" w:rsidRPr="001B2353">
        <w:rPr>
          <w:rFonts w:asciiTheme="minorHAnsi" w:hAnsiTheme="minorHAnsi"/>
          <w:b/>
          <w:sz w:val="22"/>
          <w:szCs w:val="22"/>
        </w:rPr>
        <w:t>4</w:t>
      </w:r>
      <w:r w:rsidR="007F0AA4" w:rsidRPr="001B2353">
        <w:rPr>
          <w:rFonts w:asciiTheme="minorHAnsi" w:hAnsiTheme="minorHAnsi"/>
          <w:sz w:val="22"/>
          <w:szCs w:val="22"/>
        </w:rPr>
        <w:t xml:space="preserve">           </w:t>
      </w:r>
      <w:r w:rsidR="007F0AA4" w:rsidRPr="001B2353">
        <w:rPr>
          <w:rFonts w:asciiTheme="minorHAnsi" w:hAnsiTheme="minorHAnsi"/>
          <w:sz w:val="22"/>
          <w:szCs w:val="22"/>
        </w:rPr>
        <w:tab/>
      </w:r>
      <w:r w:rsidR="007F0AA4" w:rsidRPr="001B2353">
        <w:rPr>
          <w:rFonts w:asciiTheme="minorHAnsi" w:hAnsiTheme="minorHAnsi"/>
          <w:sz w:val="22"/>
          <w:szCs w:val="22"/>
        </w:rPr>
        <w:tab/>
      </w:r>
      <w:r w:rsidR="007F0AA4" w:rsidRPr="001B2353">
        <w:rPr>
          <w:rFonts w:asciiTheme="minorHAnsi" w:hAnsiTheme="minorHAnsi"/>
          <w:sz w:val="22"/>
          <w:szCs w:val="22"/>
        </w:rPr>
        <w:tab/>
      </w:r>
      <w:r w:rsidR="007F0AA4" w:rsidRPr="001B2353">
        <w:rPr>
          <w:rFonts w:asciiTheme="minorHAnsi" w:hAnsiTheme="minorHAnsi"/>
          <w:sz w:val="22"/>
          <w:szCs w:val="22"/>
        </w:rPr>
        <w:tab/>
      </w:r>
      <w:r w:rsidR="007F0AA4" w:rsidRPr="001B2353">
        <w:rPr>
          <w:rFonts w:asciiTheme="minorHAnsi" w:hAnsiTheme="minorHAnsi"/>
          <w:sz w:val="22"/>
          <w:szCs w:val="22"/>
        </w:rPr>
        <w:tab/>
      </w:r>
      <w:r w:rsidR="007F0AA4" w:rsidRPr="001B2353">
        <w:rPr>
          <w:rFonts w:asciiTheme="minorHAnsi" w:hAnsiTheme="minorHAnsi"/>
          <w:sz w:val="22"/>
          <w:szCs w:val="22"/>
        </w:rPr>
        <w:tab/>
      </w:r>
      <w:r>
        <w:rPr>
          <w:rFonts w:asciiTheme="minorHAnsi" w:hAnsiTheme="minorHAnsi"/>
          <w:sz w:val="22"/>
          <w:szCs w:val="22"/>
        </w:rPr>
        <w:tab/>
      </w:r>
      <w:r>
        <w:rPr>
          <w:rFonts w:asciiTheme="minorHAnsi" w:hAnsiTheme="minorHAnsi"/>
          <w:sz w:val="22"/>
          <w:szCs w:val="22"/>
        </w:rPr>
        <w:tab/>
      </w:r>
      <w:r w:rsidR="007F0AA4" w:rsidRPr="001B2353">
        <w:rPr>
          <w:rFonts w:asciiTheme="minorHAnsi" w:hAnsiTheme="minorHAnsi"/>
          <w:b/>
          <w:sz w:val="22"/>
          <w:szCs w:val="22"/>
        </w:rPr>
        <w:t>Zarządu Województwa Dolnośląskiego</w:t>
      </w:r>
      <w:r w:rsidR="007F0AA4" w:rsidRPr="001B2353">
        <w:rPr>
          <w:rFonts w:asciiTheme="minorHAnsi" w:hAnsiTheme="minorHAnsi"/>
          <w:sz w:val="22"/>
          <w:szCs w:val="22"/>
        </w:rPr>
        <w:tab/>
      </w:r>
      <w:r w:rsidR="007F0AA4" w:rsidRPr="001B2353">
        <w:rPr>
          <w:rFonts w:asciiTheme="minorHAnsi" w:hAnsiTheme="minorHAnsi"/>
          <w:sz w:val="22"/>
          <w:szCs w:val="22"/>
        </w:rPr>
        <w:tab/>
      </w:r>
      <w:r w:rsidR="007F0AA4" w:rsidRPr="001B2353">
        <w:rPr>
          <w:rFonts w:asciiTheme="minorHAnsi" w:hAnsiTheme="minorHAnsi"/>
          <w:sz w:val="22"/>
          <w:szCs w:val="22"/>
        </w:rPr>
        <w:tab/>
      </w:r>
      <w:r w:rsidR="007F0AA4" w:rsidRPr="001B2353">
        <w:rPr>
          <w:rFonts w:asciiTheme="minorHAnsi" w:hAnsiTheme="minorHAnsi"/>
          <w:sz w:val="22"/>
          <w:szCs w:val="22"/>
        </w:rPr>
        <w:tab/>
      </w:r>
      <w:r w:rsidR="007F0AA4" w:rsidRPr="001B2353">
        <w:rPr>
          <w:rFonts w:asciiTheme="minorHAnsi" w:hAnsiTheme="minorHAnsi"/>
          <w:sz w:val="22"/>
          <w:szCs w:val="22"/>
        </w:rPr>
        <w:tab/>
      </w:r>
      <w:r w:rsidR="007F0AA4" w:rsidRPr="001B2353">
        <w:rPr>
          <w:rFonts w:asciiTheme="minorHAnsi" w:hAnsiTheme="minorHAnsi"/>
          <w:sz w:val="22"/>
          <w:szCs w:val="22"/>
        </w:rPr>
        <w:tab/>
      </w:r>
      <w:r w:rsidR="00357BFD" w:rsidRPr="001B2353">
        <w:rPr>
          <w:rFonts w:asciiTheme="minorHAnsi" w:hAnsiTheme="minorHAnsi"/>
          <w:sz w:val="22"/>
          <w:szCs w:val="22"/>
        </w:rPr>
        <w:tab/>
      </w:r>
      <w:r>
        <w:rPr>
          <w:rFonts w:asciiTheme="minorHAnsi" w:hAnsiTheme="minorHAnsi"/>
          <w:sz w:val="22"/>
          <w:szCs w:val="22"/>
        </w:rPr>
        <w:tab/>
      </w:r>
      <w:r>
        <w:rPr>
          <w:rFonts w:asciiTheme="minorHAnsi" w:hAnsiTheme="minorHAnsi"/>
          <w:sz w:val="22"/>
          <w:szCs w:val="22"/>
        </w:rPr>
        <w:tab/>
      </w:r>
      <w:r w:rsidR="007F0AA4" w:rsidRPr="001B2353">
        <w:rPr>
          <w:rFonts w:asciiTheme="minorHAnsi" w:hAnsiTheme="minorHAnsi"/>
          <w:b/>
          <w:sz w:val="22"/>
          <w:szCs w:val="22"/>
        </w:rPr>
        <w:t>z dnia</w:t>
      </w:r>
      <w:r>
        <w:rPr>
          <w:rFonts w:asciiTheme="minorHAnsi" w:hAnsiTheme="minorHAnsi"/>
          <w:b/>
          <w:sz w:val="22"/>
          <w:szCs w:val="22"/>
        </w:rPr>
        <w:t xml:space="preserve"> 18 marca </w:t>
      </w:r>
      <w:r w:rsidR="005B69C8" w:rsidRPr="001B2353">
        <w:rPr>
          <w:rFonts w:asciiTheme="minorHAnsi" w:hAnsiTheme="minorHAnsi"/>
          <w:b/>
          <w:sz w:val="22"/>
          <w:szCs w:val="22"/>
        </w:rPr>
        <w:t>2</w:t>
      </w:r>
      <w:r w:rsidR="004966EC" w:rsidRPr="001B2353">
        <w:rPr>
          <w:rFonts w:asciiTheme="minorHAnsi" w:hAnsiTheme="minorHAnsi"/>
          <w:b/>
          <w:sz w:val="22"/>
          <w:szCs w:val="22"/>
        </w:rPr>
        <w:t>01</w:t>
      </w:r>
      <w:r w:rsidR="005B69C8" w:rsidRPr="001B2353">
        <w:rPr>
          <w:rFonts w:asciiTheme="minorHAnsi" w:hAnsiTheme="minorHAnsi"/>
          <w:b/>
          <w:sz w:val="22"/>
          <w:szCs w:val="22"/>
        </w:rPr>
        <w:t>4</w:t>
      </w:r>
      <w:r w:rsidR="004966EC" w:rsidRPr="001B2353">
        <w:rPr>
          <w:rFonts w:asciiTheme="minorHAnsi" w:hAnsiTheme="minorHAnsi"/>
          <w:b/>
          <w:sz w:val="22"/>
          <w:szCs w:val="22"/>
        </w:rPr>
        <w:t xml:space="preserve"> roku</w:t>
      </w:r>
    </w:p>
    <w:p w:rsidR="007F0AA4" w:rsidRPr="001B2353" w:rsidRDefault="007F0AA4" w:rsidP="007F0AA4">
      <w:pPr>
        <w:spacing w:line="360" w:lineRule="auto"/>
        <w:jc w:val="center"/>
        <w:rPr>
          <w:rFonts w:asciiTheme="minorHAnsi" w:hAnsiTheme="minorHAnsi"/>
          <w:b/>
          <w:color w:val="FF0000"/>
          <w:sz w:val="22"/>
          <w:szCs w:val="22"/>
        </w:rPr>
      </w:pPr>
      <w:r w:rsidRPr="001B2353">
        <w:rPr>
          <w:rFonts w:asciiTheme="minorHAnsi" w:hAnsiTheme="minorHAnsi"/>
          <w:b/>
          <w:color w:val="FF0000"/>
          <w:sz w:val="22"/>
          <w:szCs w:val="22"/>
        </w:rPr>
        <w:t xml:space="preserve"> </w:t>
      </w:r>
    </w:p>
    <w:p w:rsidR="007F0AA4" w:rsidRPr="001B2353" w:rsidRDefault="007F0AA4" w:rsidP="007F0AA4">
      <w:pPr>
        <w:spacing w:line="360" w:lineRule="auto"/>
        <w:jc w:val="both"/>
        <w:rPr>
          <w:rFonts w:asciiTheme="minorHAnsi" w:hAnsiTheme="minorHAnsi"/>
          <w:sz w:val="22"/>
          <w:szCs w:val="22"/>
        </w:rPr>
      </w:pPr>
    </w:p>
    <w:p w:rsidR="007F0AA4" w:rsidRPr="001B2353" w:rsidRDefault="007F0AA4" w:rsidP="007F0AA4">
      <w:pPr>
        <w:spacing w:line="360" w:lineRule="auto"/>
        <w:jc w:val="both"/>
        <w:rPr>
          <w:rFonts w:asciiTheme="minorHAnsi" w:hAnsiTheme="minorHAnsi"/>
          <w:sz w:val="22"/>
          <w:szCs w:val="22"/>
        </w:rPr>
      </w:pPr>
    </w:p>
    <w:p w:rsidR="007F0AA4" w:rsidRPr="00FB4E54" w:rsidRDefault="007F0AA4" w:rsidP="007F0AA4">
      <w:pPr>
        <w:spacing w:line="360" w:lineRule="auto"/>
        <w:jc w:val="center"/>
        <w:rPr>
          <w:rFonts w:asciiTheme="minorHAnsi" w:hAnsiTheme="minorHAnsi"/>
          <w:b/>
          <w:sz w:val="32"/>
          <w:szCs w:val="22"/>
        </w:rPr>
      </w:pPr>
      <w:r w:rsidRPr="00FB4E54">
        <w:rPr>
          <w:rFonts w:asciiTheme="minorHAnsi" w:hAnsiTheme="minorHAnsi"/>
          <w:b/>
          <w:sz w:val="32"/>
          <w:szCs w:val="22"/>
        </w:rPr>
        <w:t>DOLNOŚLĄSKI</w:t>
      </w:r>
    </w:p>
    <w:p w:rsidR="007F0AA4" w:rsidRPr="00FB4E54" w:rsidRDefault="007F0AA4" w:rsidP="007F0AA4">
      <w:pPr>
        <w:spacing w:line="360" w:lineRule="auto"/>
        <w:jc w:val="center"/>
        <w:rPr>
          <w:rFonts w:asciiTheme="minorHAnsi" w:hAnsiTheme="minorHAnsi"/>
          <w:b/>
          <w:sz w:val="32"/>
          <w:szCs w:val="22"/>
        </w:rPr>
      </w:pPr>
      <w:r w:rsidRPr="00FB4E54">
        <w:rPr>
          <w:rFonts w:asciiTheme="minorHAnsi" w:hAnsiTheme="minorHAnsi"/>
          <w:b/>
          <w:sz w:val="32"/>
          <w:szCs w:val="22"/>
        </w:rPr>
        <w:t>REGIONALNY PLAN DZIAŁAŃ</w:t>
      </w:r>
    </w:p>
    <w:p w:rsidR="007F0AA4" w:rsidRPr="00FB4E54" w:rsidRDefault="007F0AA4" w:rsidP="007F0AA4">
      <w:pPr>
        <w:spacing w:line="360" w:lineRule="auto"/>
        <w:jc w:val="center"/>
        <w:rPr>
          <w:rFonts w:asciiTheme="minorHAnsi" w:hAnsiTheme="minorHAnsi"/>
          <w:b/>
          <w:sz w:val="32"/>
          <w:szCs w:val="22"/>
        </w:rPr>
      </w:pPr>
      <w:r w:rsidRPr="00FB4E54">
        <w:rPr>
          <w:rFonts w:asciiTheme="minorHAnsi" w:hAnsiTheme="minorHAnsi"/>
          <w:b/>
          <w:sz w:val="32"/>
          <w:szCs w:val="22"/>
        </w:rPr>
        <w:t>NA RZECZ ZATRUDNIENIA</w:t>
      </w:r>
    </w:p>
    <w:p w:rsidR="007F0AA4" w:rsidRPr="001B2353" w:rsidRDefault="007F0AA4" w:rsidP="007F0AA4">
      <w:pPr>
        <w:spacing w:line="360" w:lineRule="auto"/>
        <w:jc w:val="center"/>
        <w:rPr>
          <w:rFonts w:asciiTheme="minorHAnsi" w:hAnsiTheme="minorHAnsi"/>
          <w:b/>
          <w:sz w:val="22"/>
          <w:szCs w:val="22"/>
        </w:rPr>
      </w:pPr>
      <w:r w:rsidRPr="00FB4E54">
        <w:rPr>
          <w:rFonts w:asciiTheme="minorHAnsi" w:hAnsiTheme="minorHAnsi"/>
          <w:b/>
          <w:sz w:val="32"/>
          <w:szCs w:val="22"/>
        </w:rPr>
        <w:t>NA 201</w:t>
      </w:r>
      <w:r w:rsidR="005B69C8" w:rsidRPr="00FB4E54">
        <w:rPr>
          <w:rFonts w:asciiTheme="minorHAnsi" w:hAnsiTheme="minorHAnsi"/>
          <w:b/>
          <w:sz w:val="32"/>
          <w:szCs w:val="22"/>
        </w:rPr>
        <w:t>4</w:t>
      </w:r>
      <w:r w:rsidRPr="00FB4E54">
        <w:rPr>
          <w:rFonts w:asciiTheme="minorHAnsi" w:hAnsiTheme="minorHAnsi"/>
          <w:b/>
          <w:sz w:val="32"/>
          <w:szCs w:val="22"/>
        </w:rPr>
        <w:t xml:space="preserve"> ROK</w:t>
      </w:r>
    </w:p>
    <w:p w:rsidR="007F0AA4" w:rsidRPr="001B2353" w:rsidRDefault="007F0AA4" w:rsidP="007F0AA4">
      <w:pPr>
        <w:spacing w:line="360" w:lineRule="auto"/>
        <w:jc w:val="both"/>
        <w:rPr>
          <w:rFonts w:asciiTheme="minorHAnsi" w:hAnsiTheme="minorHAnsi"/>
          <w:sz w:val="22"/>
          <w:szCs w:val="22"/>
        </w:rPr>
      </w:pPr>
    </w:p>
    <w:p w:rsidR="007F0AA4" w:rsidRPr="001B2353" w:rsidRDefault="007F0AA4" w:rsidP="007F0AA4">
      <w:pPr>
        <w:spacing w:line="360" w:lineRule="auto"/>
        <w:jc w:val="both"/>
        <w:rPr>
          <w:rFonts w:asciiTheme="minorHAnsi" w:hAnsiTheme="minorHAnsi"/>
          <w:sz w:val="22"/>
          <w:szCs w:val="22"/>
        </w:rPr>
      </w:pPr>
    </w:p>
    <w:p w:rsidR="007F0AA4" w:rsidRPr="001B2353" w:rsidRDefault="007F0AA4" w:rsidP="007F0AA4">
      <w:pPr>
        <w:spacing w:line="360" w:lineRule="auto"/>
        <w:jc w:val="both"/>
        <w:rPr>
          <w:rFonts w:asciiTheme="minorHAnsi" w:hAnsiTheme="minorHAnsi"/>
          <w:sz w:val="22"/>
          <w:szCs w:val="22"/>
        </w:rPr>
      </w:pPr>
    </w:p>
    <w:p w:rsidR="007F0AA4" w:rsidRPr="001B2353" w:rsidRDefault="007F0AA4" w:rsidP="007F0AA4">
      <w:pPr>
        <w:spacing w:line="360" w:lineRule="auto"/>
        <w:jc w:val="both"/>
        <w:rPr>
          <w:rFonts w:asciiTheme="minorHAnsi" w:hAnsiTheme="minorHAnsi"/>
          <w:sz w:val="22"/>
          <w:szCs w:val="22"/>
        </w:rPr>
      </w:pPr>
    </w:p>
    <w:p w:rsidR="007F0AA4" w:rsidRPr="001B2353" w:rsidRDefault="007F0AA4" w:rsidP="007F0AA4">
      <w:pPr>
        <w:spacing w:line="360" w:lineRule="auto"/>
        <w:jc w:val="both"/>
        <w:rPr>
          <w:rFonts w:asciiTheme="minorHAnsi" w:hAnsiTheme="minorHAnsi"/>
          <w:sz w:val="22"/>
          <w:szCs w:val="22"/>
        </w:rPr>
      </w:pPr>
    </w:p>
    <w:p w:rsidR="007F0AA4" w:rsidRPr="001B2353" w:rsidRDefault="007F0AA4" w:rsidP="007F0AA4">
      <w:pPr>
        <w:spacing w:line="360" w:lineRule="auto"/>
        <w:jc w:val="both"/>
        <w:rPr>
          <w:rFonts w:asciiTheme="minorHAnsi" w:hAnsiTheme="minorHAnsi"/>
          <w:sz w:val="22"/>
          <w:szCs w:val="22"/>
        </w:rPr>
      </w:pPr>
    </w:p>
    <w:p w:rsidR="007F0AA4" w:rsidRPr="001B2353" w:rsidRDefault="007F0AA4" w:rsidP="007F0AA4">
      <w:pPr>
        <w:spacing w:line="360" w:lineRule="auto"/>
        <w:jc w:val="both"/>
        <w:rPr>
          <w:rFonts w:asciiTheme="minorHAnsi" w:hAnsiTheme="minorHAnsi"/>
          <w:sz w:val="22"/>
          <w:szCs w:val="22"/>
        </w:rPr>
      </w:pPr>
    </w:p>
    <w:p w:rsidR="007F0AA4" w:rsidRPr="001B2353" w:rsidRDefault="007F0AA4" w:rsidP="007F0AA4">
      <w:pPr>
        <w:spacing w:line="360" w:lineRule="auto"/>
        <w:jc w:val="both"/>
        <w:rPr>
          <w:rFonts w:asciiTheme="minorHAnsi" w:hAnsiTheme="minorHAnsi"/>
          <w:sz w:val="22"/>
          <w:szCs w:val="22"/>
        </w:rPr>
      </w:pPr>
    </w:p>
    <w:p w:rsidR="007F0AA4" w:rsidRPr="001B2353" w:rsidRDefault="007F0AA4" w:rsidP="007F0AA4">
      <w:pPr>
        <w:spacing w:line="360" w:lineRule="auto"/>
        <w:jc w:val="both"/>
        <w:rPr>
          <w:rFonts w:asciiTheme="minorHAnsi" w:hAnsiTheme="minorHAnsi"/>
          <w:sz w:val="22"/>
          <w:szCs w:val="22"/>
        </w:rPr>
      </w:pPr>
    </w:p>
    <w:p w:rsidR="00E61818" w:rsidRDefault="00E61818" w:rsidP="007F0AA4">
      <w:pPr>
        <w:spacing w:line="360" w:lineRule="auto"/>
        <w:jc w:val="both"/>
        <w:rPr>
          <w:rFonts w:asciiTheme="minorHAnsi" w:hAnsiTheme="minorHAnsi"/>
          <w:sz w:val="22"/>
          <w:szCs w:val="22"/>
        </w:rPr>
      </w:pPr>
    </w:p>
    <w:p w:rsidR="00FB4E54" w:rsidRDefault="00FB4E54" w:rsidP="007F0AA4">
      <w:pPr>
        <w:spacing w:line="360" w:lineRule="auto"/>
        <w:jc w:val="both"/>
        <w:rPr>
          <w:rFonts w:asciiTheme="minorHAnsi" w:hAnsiTheme="minorHAnsi"/>
          <w:sz w:val="22"/>
          <w:szCs w:val="22"/>
        </w:rPr>
      </w:pPr>
    </w:p>
    <w:p w:rsidR="00FB4E54" w:rsidRDefault="00FB4E54" w:rsidP="007F0AA4">
      <w:pPr>
        <w:spacing w:line="360" w:lineRule="auto"/>
        <w:jc w:val="both"/>
        <w:rPr>
          <w:rFonts w:asciiTheme="minorHAnsi" w:hAnsiTheme="minorHAnsi"/>
          <w:sz w:val="22"/>
          <w:szCs w:val="22"/>
        </w:rPr>
      </w:pPr>
    </w:p>
    <w:p w:rsidR="00FB4E54" w:rsidRDefault="00FB4E54" w:rsidP="007F0AA4">
      <w:pPr>
        <w:spacing w:line="360" w:lineRule="auto"/>
        <w:jc w:val="both"/>
        <w:rPr>
          <w:rFonts w:asciiTheme="minorHAnsi" w:hAnsiTheme="minorHAnsi"/>
          <w:sz w:val="22"/>
          <w:szCs w:val="22"/>
        </w:rPr>
      </w:pPr>
    </w:p>
    <w:p w:rsidR="00FB4E54" w:rsidRDefault="00FB4E54" w:rsidP="007F0AA4">
      <w:pPr>
        <w:spacing w:line="360" w:lineRule="auto"/>
        <w:jc w:val="both"/>
        <w:rPr>
          <w:rFonts w:asciiTheme="minorHAnsi" w:hAnsiTheme="minorHAnsi"/>
          <w:sz w:val="22"/>
          <w:szCs w:val="22"/>
        </w:rPr>
      </w:pPr>
    </w:p>
    <w:p w:rsidR="00FB4E54" w:rsidRDefault="00FB4E54" w:rsidP="007F0AA4">
      <w:pPr>
        <w:spacing w:line="360" w:lineRule="auto"/>
        <w:jc w:val="both"/>
        <w:rPr>
          <w:rFonts w:asciiTheme="minorHAnsi" w:hAnsiTheme="minorHAnsi"/>
          <w:sz w:val="22"/>
          <w:szCs w:val="22"/>
        </w:rPr>
      </w:pPr>
    </w:p>
    <w:p w:rsidR="00FB4E54" w:rsidRPr="001B2353" w:rsidRDefault="00FB4E54" w:rsidP="007F0AA4">
      <w:pPr>
        <w:spacing w:line="360" w:lineRule="auto"/>
        <w:jc w:val="both"/>
        <w:rPr>
          <w:rFonts w:asciiTheme="minorHAnsi" w:hAnsiTheme="minorHAnsi"/>
          <w:sz w:val="22"/>
          <w:szCs w:val="22"/>
        </w:rPr>
      </w:pPr>
    </w:p>
    <w:p w:rsidR="00FB4E54" w:rsidRDefault="00FB4E54" w:rsidP="007F0AA4">
      <w:pPr>
        <w:spacing w:line="360" w:lineRule="auto"/>
        <w:jc w:val="center"/>
        <w:rPr>
          <w:rFonts w:asciiTheme="minorHAnsi" w:hAnsiTheme="minorHAnsi"/>
          <w:b/>
          <w:sz w:val="22"/>
          <w:szCs w:val="22"/>
        </w:rPr>
      </w:pPr>
    </w:p>
    <w:p w:rsidR="007F0AA4" w:rsidRPr="001B2353" w:rsidRDefault="007F0AA4" w:rsidP="007F0AA4">
      <w:pPr>
        <w:spacing w:line="360" w:lineRule="auto"/>
        <w:jc w:val="center"/>
        <w:rPr>
          <w:rFonts w:asciiTheme="minorHAnsi" w:hAnsiTheme="minorHAnsi"/>
          <w:b/>
          <w:sz w:val="22"/>
          <w:szCs w:val="22"/>
        </w:rPr>
      </w:pPr>
      <w:r w:rsidRPr="001B2353">
        <w:rPr>
          <w:rFonts w:asciiTheme="minorHAnsi" w:hAnsiTheme="minorHAnsi"/>
          <w:b/>
          <w:sz w:val="22"/>
          <w:szCs w:val="22"/>
        </w:rPr>
        <w:t xml:space="preserve">Wrocław, </w:t>
      </w:r>
      <w:r w:rsidR="005B69C8" w:rsidRPr="001B2353">
        <w:rPr>
          <w:rFonts w:asciiTheme="minorHAnsi" w:hAnsiTheme="minorHAnsi"/>
          <w:b/>
          <w:sz w:val="22"/>
          <w:szCs w:val="22"/>
        </w:rPr>
        <w:t>marzec</w:t>
      </w:r>
      <w:r w:rsidRPr="001B2353">
        <w:rPr>
          <w:rFonts w:asciiTheme="minorHAnsi" w:hAnsiTheme="minorHAnsi"/>
          <w:b/>
          <w:sz w:val="22"/>
          <w:szCs w:val="22"/>
        </w:rPr>
        <w:t xml:space="preserve"> 201</w:t>
      </w:r>
      <w:r w:rsidR="005B69C8" w:rsidRPr="001B2353">
        <w:rPr>
          <w:rFonts w:asciiTheme="minorHAnsi" w:hAnsiTheme="minorHAnsi"/>
          <w:b/>
          <w:sz w:val="22"/>
          <w:szCs w:val="22"/>
        </w:rPr>
        <w:t>4</w:t>
      </w:r>
    </w:p>
    <w:p w:rsidR="00357BFD" w:rsidRPr="001B2353" w:rsidRDefault="00357BFD" w:rsidP="00357BFD">
      <w:pPr>
        <w:spacing w:line="360" w:lineRule="auto"/>
        <w:jc w:val="both"/>
        <w:rPr>
          <w:rFonts w:asciiTheme="minorHAnsi" w:hAnsiTheme="minorHAnsi"/>
          <w:b/>
          <w:sz w:val="22"/>
          <w:szCs w:val="22"/>
        </w:rPr>
      </w:pPr>
    </w:p>
    <w:p w:rsidR="00E61818" w:rsidRPr="001B2353" w:rsidRDefault="00E61818">
      <w:pPr>
        <w:spacing w:after="200" w:line="276" w:lineRule="auto"/>
        <w:rPr>
          <w:rFonts w:asciiTheme="minorHAnsi" w:hAnsiTheme="minorHAnsi"/>
          <w:sz w:val="22"/>
          <w:szCs w:val="22"/>
        </w:rPr>
      </w:pPr>
      <w:r w:rsidRPr="001B2353">
        <w:rPr>
          <w:rFonts w:asciiTheme="minorHAnsi" w:hAnsiTheme="minorHAnsi"/>
          <w:sz w:val="22"/>
          <w:szCs w:val="22"/>
        </w:rPr>
        <w:br w:type="page"/>
      </w:r>
    </w:p>
    <w:p w:rsidR="00151C68" w:rsidRPr="001B2353" w:rsidRDefault="007F0AA4" w:rsidP="00357BFD">
      <w:pPr>
        <w:spacing w:line="360" w:lineRule="auto"/>
        <w:jc w:val="both"/>
        <w:rPr>
          <w:rFonts w:asciiTheme="minorHAnsi" w:hAnsiTheme="minorHAnsi"/>
          <w:sz w:val="22"/>
          <w:szCs w:val="22"/>
        </w:rPr>
      </w:pPr>
      <w:r w:rsidRPr="001B2353">
        <w:rPr>
          <w:rFonts w:asciiTheme="minorHAnsi" w:hAnsiTheme="minorHAnsi"/>
          <w:sz w:val="22"/>
          <w:szCs w:val="22"/>
        </w:rPr>
        <w:lastRenderedPageBreak/>
        <w:tab/>
      </w:r>
      <w:r w:rsidR="00357BFD" w:rsidRPr="001B2353">
        <w:rPr>
          <w:rFonts w:asciiTheme="minorHAnsi" w:hAnsiTheme="minorHAnsi"/>
          <w:sz w:val="22"/>
          <w:szCs w:val="22"/>
        </w:rPr>
        <w:tab/>
      </w:r>
      <w:r w:rsidR="00357BFD" w:rsidRPr="001B2353">
        <w:rPr>
          <w:rFonts w:asciiTheme="minorHAnsi" w:hAnsiTheme="minorHAnsi"/>
          <w:sz w:val="22"/>
          <w:szCs w:val="22"/>
        </w:rPr>
        <w:tab/>
      </w:r>
      <w:r w:rsidR="00357BFD" w:rsidRPr="001B2353">
        <w:rPr>
          <w:rFonts w:asciiTheme="minorHAnsi" w:hAnsiTheme="minorHAnsi"/>
          <w:sz w:val="22"/>
          <w:szCs w:val="22"/>
        </w:rPr>
        <w:tab/>
      </w:r>
      <w:r w:rsidR="00357BFD" w:rsidRPr="001B2353">
        <w:rPr>
          <w:rFonts w:asciiTheme="minorHAnsi" w:hAnsiTheme="minorHAnsi"/>
          <w:sz w:val="22"/>
          <w:szCs w:val="22"/>
        </w:rPr>
        <w:tab/>
      </w:r>
      <w:r w:rsidR="00357BFD" w:rsidRPr="001B2353">
        <w:rPr>
          <w:rFonts w:asciiTheme="minorHAnsi" w:hAnsiTheme="minorHAnsi"/>
          <w:sz w:val="22"/>
          <w:szCs w:val="22"/>
        </w:rPr>
        <w:tab/>
      </w:r>
      <w:r w:rsidR="00357BFD" w:rsidRPr="001B2353">
        <w:rPr>
          <w:rFonts w:asciiTheme="minorHAnsi" w:hAnsiTheme="minorHAnsi"/>
          <w:sz w:val="22"/>
          <w:szCs w:val="22"/>
        </w:rPr>
        <w:tab/>
      </w:r>
      <w:r w:rsidR="00357BFD" w:rsidRPr="001B2353">
        <w:rPr>
          <w:rFonts w:asciiTheme="minorHAnsi" w:hAnsiTheme="minorHAnsi"/>
          <w:sz w:val="22"/>
          <w:szCs w:val="22"/>
        </w:rPr>
        <w:tab/>
      </w:r>
      <w:r w:rsidR="00357BFD" w:rsidRPr="001B2353">
        <w:rPr>
          <w:rFonts w:asciiTheme="minorHAnsi" w:hAnsiTheme="minorHAnsi"/>
          <w:sz w:val="22"/>
          <w:szCs w:val="22"/>
        </w:rPr>
        <w:tab/>
      </w:r>
      <w:r w:rsidR="00357BFD" w:rsidRPr="001B2353">
        <w:rPr>
          <w:rFonts w:asciiTheme="minorHAnsi" w:hAnsiTheme="minorHAnsi"/>
          <w:sz w:val="22"/>
          <w:szCs w:val="22"/>
        </w:rPr>
        <w:tab/>
      </w:r>
      <w:r w:rsidR="00357BFD" w:rsidRPr="001B2353">
        <w:rPr>
          <w:rFonts w:asciiTheme="minorHAnsi" w:hAnsiTheme="minorHAnsi"/>
          <w:sz w:val="22"/>
          <w:szCs w:val="22"/>
        </w:rPr>
        <w:tab/>
      </w:r>
      <w:r w:rsidR="00357BFD" w:rsidRPr="001B2353">
        <w:rPr>
          <w:rFonts w:asciiTheme="minorHAnsi" w:hAnsiTheme="minorHAnsi"/>
          <w:sz w:val="22"/>
          <w:szCs w:val="22"/>
        </w:rPr>
        <w:tab/>
      </w:r>
      <w:r w:rsidR="00357BFD" w:rsidRPr="001B2353">
        <w:rPr>
          <w:rFonts w:asciiTheme="minorHAnsi" w:hAnsiTheme="minorHAnsi"/>
          <w:sz w:val="22"/>
          <w:szCs w:val="22"/>
        </w:rPr>
        <w:tab/>
      </w:r>
      <w:r w:rsidR="00151C68" w:rsidRPr="001B2353">
        <w:rPr>
          <w:rFonts w:asciiTheme="minorHAnsi" w:hAnsiTheme="minorHAnsi"/>
          <w:sz w:val="22"/>
          <w:szCs w:val="22"/>
        </w:rPr>
        <w:t xml:space="preserve">Str. </w:t>
      </w:r>
    </w:p>
    <w:p w:rsidR="00151C68" w:rsidRPr="001B2353" w:rsidRDefault="00151C68" w:rsidP="00357BFD">
      <w:pPr>
        <w:pStyle w:val="Default"/>
        <w:spacing w:line="360" w:lineRule="auto"/>
        <w:jc w:val="both"/>
        <w:rPr>
          <w:rFonts w:asciiTheme="minorHAnsi" w:hAnsiTheme="minorHAnsi"/>
          <w:sz w:val="22"/>
          <w:szCs w:val="22"/>
        </w:rPr>
      </w:pPr>
      <w:r w:rsidRPr="001B2353">
        <w:rPr>
          <w:rFonts w:asciiTheme="minorHAnsi" w:hAnsiTheme="minorHAnsi"/>
          <w:b/>
          <w:bCs/>
          <w:sz w:val="22"/>
          <w:szCs w:val="22"/>
        </w:rPr>
        <w:t>SPIS TREŚCI</w:t>
      </w:r>
    </w:p>
    <w:p w:rsidR="00151C68" w:rsidRPr="001B2353" w:rsidRDefault="00151C68" w:rsidP="00357BFD">
      <w:pPr>
        <w:pStyle w:val="Default"/>
        <w:spacing w:line="360" w:lineRule="auto"/>
        <w:jc w:val="both"/>
        <w:rPr>
          <w:rFonts w:asciiTheme="minorHAnsi" w:hAnsiTheme="minorHAnsi"/>
          <w:sz w:val="22"/>
          <w:szCs w:val="22"/>
        </w:rPr>
      </w:pPr>
      <w:r w:rsidRPr="001B2353">
        <w:rPr>
          <w:rFonts w:asciiTheme="minorHAnsi" w:hAnsiTheme="minorHAnsi"/>
          <w:sz w:val="22"/>
          <w:szCs w:val="22"/>
        </w:rPr>
        <w:t xml:space="preserve">Wprowadzenie </w:t>
      </w:r>
      <w:r w:rsidR="007F0AA4" w:rsidRPr="001B2353">
        <w:rPr>
          <w:rFonts w:asciiTheme="minorHAnsi" w:hAnsiTheme="minorHAnsi"/>
          <w:sz w:val="22"/>
          <w:szCs w:val="22"/>
        </w:rPr>
        <w:tab/>
      </w:r>
      <w:r w:rsidR="007F0AA4" w:rsidRPr="001B2353">
        <w:rPr>
          <w:rFonts w:asciiTheme="minorHAnsi" w:hAnsiTheme="minorHAnsi"/>
          <w:sz w:val="22"/>
          <w:szCs w:val="22"/>
        </w:rPr>
        <w:tab/>
      </w:r>
      <w:r w:rsidR="007F0AA4" w:rsidRPr="001B2353">
        <w:rPr>
          <w:rFonts w:asciiTheme="minorHAnsi" w:hAnsiTheme="minorHAnsi"/>
          <w:sz w:val="22"/>
          <w:szCs w:val="22"/>
        </w:rPr>
        <w:tab/>
      </w:r>
      <w:r w:rsidR="007F0AA4" w:rsidRPr="001B2353">
        <w:rPr>
          <w:rFonts w:asciiTheme="minorHAnsi" w:hAnsiTheme="minorHAnsi"/>
          <w:sz w:val="22"/>
          <w:szCs w:val="22"/>
        </w:rPr>
        <w:tab/>
      </w:r>
      <w:r w:rsidR="007F0AA4" w:rsidRPr="001B2353">
        <w:rPr>
          <w:rFonts w:asciiTheme="minorHAnsi" w:hAnsiTheme="minorHAnsi"/>
          <w:sz w:val="22"/>
          <w:szCs w:val="22"/>
        </w:rPr>
        <w:tab/>
      </w:r>
      <w:r w:rsidR="007F0AA4" w:rsidRPr="001B2353">
        <w:rPr>
          <w:rFonts w:asciiTheme="minorHAnsi" w:hAnsiTheme="minorHAnsi"/>
          <w:sz w:val="22"/>
          <w:szCs w:val="22"/>
        </w:rPr>
        <w:tab/>
      </w:r>
      <w:r w:rsidR="007F0AA4" w:rsidRPr="001B2353">
        <w:rPr>
          <w:rFonts w:asciiTheme="minorHAnsi" w:hAnsiTheme="minorHAnsi"/>
          <w:sz w:val="22"/>
          <w:szCs w:val="22"/>
        </w:rPr>
        <w:tab/>
      </w:r>
      <w:r w:rsidR="007F0AA4" w:rsidRPr="001B2353">
        <w:rPr>
          <w:rFonts w:asciiTheme="minorHAnsi" w:hAnsiTheme="minorHAnsi"/>
          <w:sz w:val="22"/>
          <w:szCs w:val="22"/>
        </w:rPr>
        <w:tab/>
      </w:r>
      <w:r w:rsidR="007F0AA4" w:rsidRPr="001B2353">
        <w:rPr>
          <w:rFonts w:asciiTheme="minorHAnsi" w:hAnsiTheme="minorHAnsi"/>
          <w:sz w:val="22"/>
          <w:szCs w:val="22"/>
        </w:rPr>
        <w:tab/>
      </w:r>
      <w:r w:rsidR="007F0AA4" w:rsidRPr="001B2353">
        <w:rPr>
          <w:rFonts w:asciiTheme="minorHAnsi" w:hAnsiTheme="minorHAnsi"/>
          <w:sz w:val="22"/>
          <w:szCs w:val="22"/>
        </w:rPr>
        <w:tab/>
        <w:t xml:space="preserve">           </w:t>
      </w:r>
      <w:r w:rsidR="00357BFD" w:rsidRPr="001B2353">
        <w:rPr>
          <w:rFonts w:asciiTheme="minorHAnsi" w:hAnsiTheme="minorHAnsi"/>
          <w:sz w:val="22"/>
          <w:szCs w:val="22"/>
        </w:rPr>
        <w:tab/>
        <w:t xml:space="preserve">  </w:t>
      </w:r>
      <w:r w:rsidR="00357BFD" w:rsidRPr="001B2353">
        <w:rPr>
          <w:rFonts w:asciiTheme="minorHAnsi" w:hAnsiTheme="minorHAnsi"/>
          <w:sz w:val="22"/>
          <w:szCs w:val="22"/>
        </w:rPr>
        <w:tab/>
        <w:t xml:space="preserve">  </w:t>
      </w:r>
      <w:r w:rsidRPr="001B2353">
        <w:rPr>
          <w:rFonts w:asciiTheme="minorHAnsi" w:hAnsiTheme="minorHAnsi"/>
          <w:sz w:val="22"/>
          <w:szCs w:val="22"/>
        </w:rPr>
        <w:t xml:space="preserve">3 </w:t>
      </w:r>
    </w:p>
    <w:p w:rsidR="00151C68" w:rsidRPr="001B2353" w:rsidRDefault="00151C68" w:rsidP="00357BFD">
      <w:pPr>
        <w:pStyle w:val="Default"/>
        <w:spacing w:line="360" w:lineRule="auto"/>
        <w:jc w:val="both"/>
        <w:rPr>
          <w:rFonts w:asciiTheme="minorHAnsi" w:hAnsiTheme="minorHAnsi"/>
          <w:sz w:val="22"/>
          <w:szCs w:val="22"/>
        </w:rPr>
      </w:pPr>
      <w:r w:rsidRPr="001B2353">
        <w:rPr>
          <w:rFonts w:asciiTheme="minorHAnsi" w:hAnsiTheme="minorHAnsi"/>
          <w:sz w:val="22"/>
          <w:szCs w:val="22"/>
        </w:rPr>
        <w:t>ROZDZIAŁ 1 Zmiany na dolnośląskim rynku pracy w 201</w:t>
      </w:r>
      <w:r w:rsidR="001B2353" w:rsidRPr="001B2353">
        <w:rPr>
          <w:rFonts w:asciiTheme="minorHAnsi" w:hAnsiTheme="minorHAnsi"/>
          <w:sz w:val="22"/>
          <w:szCs w:val="22"/>
        </w:rPr>
        <w:t>3</w:t>
      </w:r>
      <w:r w:rsidRPr="001B2353">
        <w:rPr>
          <w:rFonts w:asciiTheme="minorHAnsi" w:hAnsiTheme="minorHAnsi"/>
          <w:sz w:val="22"/>
          <w:szCs w:val="22"/>
        </w:rPr>
        <w:t xml:space="preserve"> roku</w:t>
      </w:r>
      <w:r w:rsidR="007F0AA4" w:rsidRPr="001B2353">
        <w:rPr>
          <w:rFonts w:asciiTheme="minorHAnsi" w:hAnsiTheme="minorHAnsi"/>
          <w:sz w:val="22"/>
          <w:szCs w:val="22"/>
        </w:rPr>
        <w:t xml:space="preserve">     </w:t>
      </w:r>
      <w:r w:rsidR="007F0AA4" w:rsidRPr="001B2353">
        <w:rPr>
          <w:rFonts w:asciiTheme="minorHAnsi" w:hAnsiTheme="minorHAnsi"/>
          <w:sz w:val="22"/>
          <w:szCs w:val="22"/>
        </w:rPr>
        <w:tab/>
      </w:r>
      <w:r w:rsidR="007F0AA4" w:rsidRPr="001B2353">
        <w:rPr>
          <w:rFonts w:asciiTheme="minorHAnsi" w:hAnsiTheme="minorHAnsi"/>
          <w:sz w:val="22"/>
          <w:szCs w:val="22"/>
        </w:rPr>
        <w:tab/>
      </w:r>
      <w:r w:rsidR="007F0AA4" w:rsidRPr="001B2353">
        <w:rPr>
          <w:rFonts w:asciiTheme="minorHAnsi" w:hAnsiTheme="minorHAnsi"/>
          <w:sz w:val="22"/>
          <w:szCs w:val="22"/>
        </w:rPr>
        <w:tab/>
      </w:r>
      <w:r w:rsidR="007F0AA4" w:rsidRPr="001B2353">
        <w:rPr>
          <w:rFonts w:asciiTheme="minorHAnsi" w:hAnsiTheme="minorHAnsi"/>
          <w:sz w:val="22"/>
          <w:szCs w:val="22"/>
        </w:rPr>
        <w:tab/>
        <w:t xml:space="preserve">           </w:t>
      </w:r>
      <w:r w:rsidR="00357BFD" w:rsidRPr="001B2353">
        <w:rPr>
          <w:rFonts w:asciiTheme="minorHAnsi" w:hAnsiTheme="minorHAnsi"/>
          <w:sz w:val="22"/>
          <w:szCs w:val="22"/>
        </w:rPr>
        <w:tab/>
        <w:t xml:space="preserve">  </w:t>
      </w:r>
      <w:r w:rsidR="007F0AA4" w:rsidRPr="001B2353">
        <w:rPr>
          <w:rFonts w:asciiTheme="minorHAnsi" w:hAnsiTheme="minorHAnsi"/>
          <w:sz w:val="22"/>
          <w:szCs w:val="22"/>
        </w:rPr>
        <w:t>5</w:t>
      </w:r>
      <w:r w:rsidRPr="001B2353">
        <w:rPr>
          <w:rFonts w:asciiTheme="minorHAnsi" w:hAnsiTheme="minorHAnsi"/>
          <w:sz w:val="22"/>
          <w:szCs w:val="22"/>
        </w:rPr>
        <w:t xml:space="preserve"> </w:t>
      </w:r>
    </w:p>
    <w:p w:rsidR="00715BC1" w:rsidRPr="001B2353" w:rsidRDefault="00151C68" w:rsidP="00357BFD">
      <w:pPr>
        <w:pStyle w:val="Default"/>
        <w:spacing w:line="360" w:lineRule="auto"/>
        <w:jc w:val="both"/>
        <w:rPr>
          <w:rFonts w:asciiTheme="minorHAnsi" w:hAnsiTheme="minorHAnsi"/>
          <w:sz w:val="22"/>
          <w:szCs w:val="22"/>
        </w:rPr>
      </w:pPr>
      <w:r w:rsidRPr="001B2353">
        <w:rPr>
          <w:rFonts w:asciiTheme="minorHAnsi" w:hAnsiTheme="minorHAnsi"/>
          <w:sz w:val="22"/>
          <w:szCs w:val="22"/>
        </w:rPr>
        <w:t xml:space="preserve">ROZDZIAŁ 2 Cele polityki rynku pracy, priorytety, działania i zadania na rzecz zatrudnienia </w:t>
      </w:r>
    </w:p>
    <w:p w:rsidR="00151C68" w:rsidRPr="001B2353" w:rsidRDefault="00715BC1" w:rsidP="00357BFD">
      <w:pPr>
        <w:pStyle w:val="Default"/>
        <w:spacing w:line="360" w:lineRule="auto"/>
        <w:jc w:val="both"/>
        <w:rPr>
          <w:rFonts w:asciiTheme="minorHAnsi" w:hAnsiTheme="minorHAnsi"/>
          <w:sz w:val="22"/>
          <w:szCs w:val="22"/>
        </w:rPr>
      </w:pPr>
      <w:r w:rsidRPr="001B2353">
        <w:rPr>
          <w:rFonts w:asciiTheme="minorHAnsi" w:hAnsiTheme="minorHAnsi"/>
          <w:sz w:val="22"/>
          <w:szCs w:val="22"/>
        </w:rPr>
        <w:tab/>
        <w:t xml:space="preserve">       </w:t>
      </w:r>
      <w:r w:rsidR="00151C68" w:rsidRPr="001B2353">
        <w:rPr>
          <w:rFonts w:asciiTheme="minorHAnsi" w:hAnsiTheme="minorHAnsi"/>
          <w:sz w:val="22"/>
          <w:szCs w:val="22"/>
        </w:rPr>
        <w:t>na 201</w:t>
      </w:r>
      <w:r w:rsidR="005B69C8" w:rsidRPr="001B2353">
        <w:rPr>
          <w:rFonts w:asciiTheme="minorHAnsi" w:hAnsiTheme="minorHAnsi"/>
          <w:sz w:val="22"/>
          <w:szCs w:val="22"/>
        </w:rPr>
        <w:t>4</w:t>
      </w:r>
      <w:r w:rsidR="00151C68" w:rsidRPr="001B2353">
        <w:rPr>
          <w:rFonts w:asciiTheme="minorHAnsi" w:hAnsiTheme="minorHAnsi"/>
          <w:sz w:val="22"/>
          <w:szCs w:val="22"/>
        </w:rPr>
        <w:t xml:space="preserve"> rok </w:t>
      </w:r>
      <w:r w:rsidR="00357BFD" w:rsidRPr="001B2353">
        <w:rPr>
          <w:rFonts w:asciiTheme="minorHAnsi" w:hAnsiTheme="minorHAnsi"/>
          <w:sz w:val="22"/>
          <w:szCs w:val="22"/>
        </w:rPr>
        <w:tab/>
      </w:r>
      <w:r w:rsidRPr="001B2353">
        <w:rPr>
          <w:rFonts w:asciiTheme="minorHAnsi" w:hAnsiTheme="minorHAnsi"/>
          <w:sz w:val="22"/>
          <w:szCs w:val="22"/>
        </w:rPr>
        <w:tab/>
      </w:r>
      <w:r w:rsidRPr="001B2353">
        <w:rPr>
          <w:rFonts w:asciiTheme="minorHAnsi" w:hAnsiTheme="minorHAnsi"/>
          <w:sz w:val="22"/>
          <w:szCs w:val="22"/>
        </w:rPr>
        <w:tab/>
      </w:r>
      <w:r w:rsidRPr="001B2353">
        <w:rPr>
          <w:rFonts w:asciiTheme="minorHAnsi" w:hAnsiTheme="minorHAnsi"/>
          <w:sz w:val="22"/>
          <w:szCs w:val="22"/>
        </w:rPr>
        <w:tab/>
      </w:r>
      <w:r w:rsidRPr="001B2353">
        <w:rPr>
          <w:rFonts w:asciiTheme="minorHAnsi" w:hAnsiTheme="minorHAnsi"/>
          <w:sz w:val="22"/>
          <w:szCs w:val="22"/>
        </w:rPr>
        <w:tab/>
      </w:r>
      <w:r w:rsidRPr="001B2353">
        <w:rPr>
          <w:rFonts w:asciiTheme="minorHAnsi" w:hAnsiTheme="minorHAnsi"/>
          <w:sz w:val="22"/>
          <w:szCs w:val="22"/>
        </w:rPr>
        <w:tab/>
      </w:r>
      <w:r w:rsidRPr="001B2353">
        <w:rPr>
          <w:rFonts w:asciiTheme="minorHAnsi" w:hAnsiTheme="minorHAnsi"/>
          <w:sz w:val="22"/>
          <w:szCs w:val="22"/>
        </w:rPr>
        <w:tab/>
      </w:r>
      <w:r w:rsidRPr="001B2353">
        <w:rPr>
          <w:rFonts w:asciiTheme="minorHAnsi" w:hAnsiTheme="minorHAnsi"/>
          <w:sz w:val="22"/>
          <w:szCs w:val="22"/>
        </w:rPr>
        <w:tab/>
      </w:r>
      <w:r w:rsidRPr="001B2353">
        <w:rPr>
          <w:rFonts w:asciiTheme="minorHAnsi" w:hAnsiTheme="minorHAnsi"/>
          <w:sz w:val="22"/>
          <w:szCs w:val="22"/>
        </w:rPr>
        <w:tab/>
      </w:r>
      <w:r w:rsidRPr="001B2353">
        <w:rPr>
          <w:rFonts w:asciiTheme="minorHAnsi" w:hAnsiTheme="minorHAnsi"/>
          <w:sz w:val="22"/>
          <w:szCs w:val="22"/>
        </w:rPr>
        <w:tab/>
      </w:r>
      <w:r w:rsidR="00151C68" w:rsidRPr="001B2353">
        <w:rPr>
          <w:rFonts w:asciiTheme="minorHAnsi" w:hAnsiTheme="minorHAnsi"/>
          <w:sz w:val="22"/>
          <w:szCs w:val="22"/>
        </w:rPr>
        <w:t>2</w:t>
      </w:r>
      <w:r w:rsidR="00DA6AF0" w:rsidRPr="001B2353">
        <w:rPr>
          <w:rFonts w:asciiTheme="minorHAnsi" w:hAnsiTheme="minorHAnsi"/>
          <w:sz w:val="22"/>
          <w:szCs w:val="22"/>
        </w:rPr>
        <w:t>4</w:t>
      </w:r>
      <w:r w:rsidR="00151C68" w:rsidRPr="001B2353">
        <w:rPr>
          <w:rFonts w:asciiTheme="minorHAnsi" w:hAnsiTheme="minorHAnsi"/>
          <w:sz w:val="22"/>
          <w:szCs w:val="22"/>
        </w:rPr>
        <w:t xml:space="preserve"> </w:t>
      </w:r>
    </w:p>
    <w:p w:rsidR="00357BFD" w:rsidRPr="001B2353" w:rsidRDefault="00151C68" w:rsidP="00357BFD">
      <w:pPr>
        <w:pStyle w:val="Default"/>
        <w:spacing w:line="360" w:lineRule="auto"/>
        <w:jc w:val="both"/>
        <w:rPr>
          <w:rFonts w:asciiTheme="minorHAnsi" w:hAnsiTheme="minorHAnsi"/>
          <w:sz w:val="22"/>
          <w:szCs w:val="22"/>
        </w:rPr>
      </w:pPr>
      <w:r w:rsidRPr="001B2353">
        <w:rPr>
          <w:rFonts w:asciiTheme="minorHAnsi" w:hAnsiTheme="minorHAnsi"/>
          <w:sz w:val="22"/>
          <w:szCs w:val="22"/>
        </w:rPr>
        <w:t xml:space="preserve">ROZDZIAŁ 3 Źródła finansowania zadań ujętych w Dolnośląskim Regionalnym Planie Działań </w:t>
      </w:r>
    </w:p>
    <w:p w:rsidR="00151C68" w:rsidRPr="001B2353" w:rsidRDefault="00357BFD" w:rsidP="00357BFD">
      <w:pPr>
        <w:pStyle w:val="Default"/>
        <w:spacing w:line="360" w:lineRule="auto"/>
        <w:jc w:val="both"/>
        <w:rPr>
          <w:rFonts w:asciiTheme="minorHAnsi" w:hAnsiTheme="minorHAnsi"/>
          <w:sz w:val="22"/>
          <w:szCs w:val="22"/>
        </w:rPr>
      </w:pPr>
      <w:r w:rsidRPr="001B2353">
        <w:rPr>
          <w:rFonts w:asciiTheme="minorHAnsi" w:hAnsiTheme="minorHAnsi"/>
          <w:sz w:val="22"/>
          <w:szCs w:val="22"/>
        </w:rPr>
        <w:tab/>
        <w:t xml:space="preserve">       </w:t>
      </w:r>
      <w:r w:rsidR="00151C68" w:rsidRPr="001B2353">
        <w:rPr>
          <w:rFonts w:asciiTheme="minorHAnsi" w:hAnsiTheme="minorHAnsi"/>
          <w:sz w:val="22"/>
          <w:szCs w:val="22"/>
        </w:rPr>
        <w:t>na Rzecz Zatrudnienia na 201</w:t>
      </w:r>
      <w:r w:rsidR="005B69C8" w:rsidRPr="001B2353">
        <w:rPr>
          <w:rFonts w:asciiTheme="minorHAnsi" w:hAnsiTheme="minorHAnsi"/>
          <w:sz w:val="22"/>
          <w:szCs w:val="22"/>
        </w:rPr>
        <w:t>4</w:t>
      </w:r>
      <w:r w:rsidR="00151C68" w:rsidRPr="001B2353">
        <w:rPr>
          <w:rFonts w:asciiTheme="minorHAnsi" w:hAnsiTheme="minorHAnsi"/>
          <w:sz w:val="22"/>
          <w:szCs w:val="22"/>
        </w:rPr>
        <w:t xml:space="preserve"> rok </w:t>
      </w:r>
      <w:r w:rsidR="007F0AA4" w:rsidRPr="001B2353">
        <w:rPr>
          <w:rFonts w:asciiTheme="minorHAnsi" w:hAnsiTheme="minorHAnsi"/>
          <w:sz w:val="22"/>
          <w:szCs w:val="22"/>
        </w:rPr>
        <w:tab/>
      </w:r>
      <w:r w:rsidR="007F0AA4" w:rsidRPr="001B2353">
        <w:rPr>
          <w:rFonts w:asciiTheme="minorHAnsi" w:hAnsiTheme="minorHAnsi"/>
          <w:sz w:val="22"/>
          <w:szCs w:val="22"/>
        </w:rPr>
        <w:tab/>
      </w:r>
      <w:r w:rsidR="007F0AA4" w:rsidRPr="001B2353">
        <w:rPr>
          <w:rFonts w:asciiTheme="minorHAnsi" w:hAnsiTheme="minorHAnsi"/>
          <w:sz w:val="22"/>
          <w:szCs w:val="22"/>
        </w:rPr>
        <w:tab/>
      </w:r>
      <w:r w:rsidR="007F0AA4" w:rsidRPr="001B2353">
        <w:rPr>
          <w:rFonts w:asciiTheme="minorHAnsi" w:hAnsiTheme="minorHAnsi"/>
          <w:sz w:val="22"/>
          <w:szCs w:val="22"/>
        </w:rPr>
        <w:tab/>
      </w:r>
      <w:r w:rsidR="007F0AA4" w:rsidRPr="001B2353">
        <w:rPr>
          <w:rFonts w:asciiTheme="minorHAnsi" w:hAnsiTheme="minorHAnsi"/>
          <w:sz w:val="22"/>
          <w:szCs w:val="22"/>
        </w:rPr>
        <w:tab/>
        <w:t xml:space="preserve">         </w:t>
      </w:r>
      <w:r w:rsidRPr="001B2353">
        <w:rPr>
          <w:rFonts w:asciiTheme="minorHAnsi" w:hAnsiTheme="minorHAnsi"/>
          <w:sz w:val="22"/>
          <w:szCs w:val="22"/>
        </w:rPr>
        <w:tab/>
      </w:r>
      <w:r w:rsidRPr="001B2353">
        <w:rPr>
          <w:rFonts w:asciiTheme="minorHAnsi" w:hAnsiTheme="minorHAnsi"/>
          <w:sz w:val="22"/>
          <w:szCs w:val="22"/>
        </w:rPr>
        <w:tab/>
      </w:r>
      <w:r w:rsidRPr="001B2353">
        <w:rPr>
          <w:rFonts w:asciiTheme="minorHAnsi" w:hAnsiTheme="minorHAnsi"/>
          <w:sz w:val="22"/>
          <w:szCs w:val="22"/>
        </w:rPr>
        <w:tab/>
      </w:r>
      <w:r w:rsidR="00254DEC" w:rsidRPr="001B2353">
        <w:rPr>
          <w:rFonts w:asciiTheme="minorHAnsi" w:hAnsiTheme="minorHAnsi"/>
          <w:sz w:val="22"/>
          <w:szCs w:val="22"/>
        </w:rPr>
        <w:t>28</w:t>
      </w:r>
      <w:r w:rsidR="00151C68" w:rsidRPr="001B2353">
        <w:rPr>
          <w:rFonts w:asciiTheme="minorHAnsi" w:hAnsiTheme="minorHAnsi"/>
          <w:sz w:val="22"/>
          <w:szCs w:val="22"/>
        </w:rPr>
        <w:t xml:space="preserve"> </w:t>
      </w:r>
    </w:p>
    <w:p w:rsidR="007F0AA4" w:rsidRPr="001B2353" w:rsidRDefault="00151C68" w:rsidP="00357BFD">
      <w:pPr>
        <w:pStyle w:val="Default"/>
        <w:spacing w:line="360" w:lineRule="auto"/>
        <w:jc w:val="both"/>
        <w:rPr>
          <w:rFonts w:asciiTheme="minorHAnsi" w:hAnsiTheme="minorHAnsi"/>
          <w:sz w:val="22"/>
          <w:szCs w:val="22"/>
        </w:rPr>
      </w:pPr>
      <w:r w:rsidRPr="001B2353">
        <w:rPr>
          <w:rFonts w:asciiTheme="minorHAnsi" w:hAnsiTheme="minorHAnsi"/>
          <w:sz w:val="22"/>
          <w:szCs w:val="22"/>
        </w:rPr>
        <w:t xml:space="preserve">ROZDZIAŁ 4 Partnerstwo w realizacji regionalnego planu działań oraz monitorowanie </w:t>
      </w:r>
    </w:p>
    <w:p w:rsidR="00151C68" w:rsidRPr="001B2353" w:rsidRDefault="007F0AA4" w:rsidP="00357BFD">
      <w:pPr>
        <w:pStyle w:val="Default"/>
        <w:spacing w:line="360" w:lineRule="auto"/>
        <w:jc w:val="both"/>
        <w:rPr>
          <w:rFonts w:asciiTheme="minorHAnsi" w:hAnsiTheme="minorHAnsi"/>
          <w:sz w:val="22"/>
          <w:szCs w:val="22"/>
        </w:rPr>
      </w:pPr>
      <w:r w:rsidRPr="001B2353">
        <w:rPr>
          <w:rFonts w:asciiTheme="minorHAnsi" w:hAnsiTheme="minorHAnsi"/>
          <w:sz w:val="22"/>
          <w:szCs w:val="22"/>
        </w:rPr>
        <w:tab/>
        <w:t xml:space="preserve">        </w:t>
      </w:r>
      <w:r w:rsidR="00151C68" w:rsidRPr="001B2353">
        <w:rPr>
          <w:rFonts w:asciiTheme="minorHAnsi" w:hAnsiTheme="minorHAnsi"/>
          <w:sz w:val="22"/>
          <w:szCs w:val="22"/>
        </w:rPr>
        <w:t xml:space="preserve">realizowanych zadań </w:t>
      </w:r>
      <w:r w:rsidRPr="001B2353">
        <w:rPr>
          <w:rFonts w:asciiTheme="minorHAnsi" w:hAnsiTheme="minorHAnsi"/>
          <w:sz w:val="22"/>
          <w:szCs w:val="22"/>
        </w:rPr>
        <w:tab/>
      </w:r>
      <w:r w:rsidRPr="001B2353">
        <w:rPr>
          <w:rFonts w:asciiTheme="minorHAnsi" w:hAnsiTheme="minorHAnsi"/>
          <w:sz w:val="22"/>
          <w:szCs w:val="22"/>
        </w:rPr>
        <w:tab/>
      </w:r>
      <w:r w:rsidRPr="001B2353">
        <w:rPr>
          <w:rFonts w:asciiTheme="minorHAnsi" w:hAnsiTheme="minorHAnsi"/>
          <w:sz w:val="22"/>
          <w:szCs w:val="22"/>
        </w:rPr>
        <w:tab/>
      </w:r>
      <w:r w:rsidRPr="001B2353">
        <w:rPr>
          <w:rFonts w:asciiTheme="minorHAnsi" w:hAnsiTheme="minorHAnsi"/>
          <w:sz w:val="22"/>
          <w:szCs w:val="22"/>
        </w:rPr>
        <w:tab/>
      </w:r>
      <w:r w:rsidRPr="001B2353">
        <w:rPr>
          <w:rFonts w:asciiTheme="minorHAnsi" w:hAnsiTheme="minorHAnsi"/>
          <w:sz w:val="22"/>
          <w:szCs w:val="22"/>
        </w:rPr>
        <w:tab/>
      </w:r>
      <w:r w:rsidRPr="001B2353">
        <w:rPr>
          <w:rFonts w:asciiTheme="minorHAnsi" w:hAnsiTheme="minorHAnsi"/>
          <w:sz w:val="22"/>
          <w:szCs w:val="22"/>
        </w:rPr>
        <w:tab/>
      </w:r>
      <w:r w:rsidRPr="001B2353">
        <w:rPr>
          <w:rFonts w:asciiTheme="minorHAnsi" w:hAnsiTheme="minorHAnsi"/>
          <w:sz w:val="22"/>
          <w:szCs w:val="22"/>
        </w:rPr>
        <w:tab/>
      </w:r>
      <w:r w:rsidRPr="001B2353">
        <w:rPr>
          <w:rFonts w:asciiTheme="minorHAnsi" w:hAnsiTheme="minorHAnsi"/>
          <w:sz w:val="22"/>
          <w:szCs w:val="22"/>
        </w:rPr>
        <w:tab/>
        <w:t xml:space="preserve">         </w:t>
      </w:r>
      <w:r w:rsidR="00357BFD" w:rsidRPr="001B2353">
        <w:rPr>
          <w:rFonts w:asciiTheme="minorHAnsi" w:hAnsiTheme="minorHAnsi"/>
          <w:sz w:val="22"/>
          <w:szCs w:val="22"/>
        </w:rPr>
        <w:tab/>
      </w:r>
      <w:r w:rsidR="00151C68" w:rsidRPr="001B2353">
        <w:rPr>
          <w:rFonts w:asciiTheme="minorHAnsi" w:hAnsiTheme="minorHAnsi"/>
          <w:sz w:val="22"/>
          <w:szCs w:val="22"/>
        </w:rPr>
        <w:t>3</w:t>
      </w:r>
      <w:r w:rsidR="00580E48" w:rsidRPr="001B2353">
        <w:rPr>
          <w:rFonts w:asciiTheme="minorHAnsi" w:hAnsiTheme="minorHAnsi"/>
          <w:sz w:val="22"/>
          <w:szCs w:val="22"/>
        </w:rPr>
        <w:t>0</w:t>
      </w:r>
      <w:r w:rsidR="00151C68" w:rsidRPr="001B2353">
        <w:rPr>
          <w:rFonts w:asciiTheme="minorHAnsi" w:hAnsiTheme="minorHAnsi"/>
          <w:sz w:val="22"/>
          <w:szCs w:val="22"/>
        </w:rPr>
        <w:t xml:space="preserve"> </w:t>
      </w:r>
    </w:p>
    <w:p w:rsidR="00357BFD" w:rsidRPr="001B2353" w:rsidRDefault="00357BFD" w:rsidP="00357BFD">
      <w:pPr>
        <w:pStyle w:val="Default"/>
        <w:spacing w:line="360" w:lineRule="auto"/>
        <w:jc w:val="both"/>
        <w:rPr>
          <w:rFonts w:asciiTheme="minorHAnsi" w:hAnsiTheme="minorHAnsi"/>
          <w:b/>
          <w:bCs/>
          <w:sz w:val="22"/>
          <w:szCs w:val="22"/>
        </w:rPr>
      </w:pPr>
    </w:p>
    <w:p w:rsidR="00033BE9" w:rsidRPr="001B2353" w:rsidRDefault="00033BE9" w:rsidP="00357BFD">
      <w:pPr>
        <w:pStyle w:val="Default"/>
        <w:spacing w:line="360" w:lineRule="auto"/>
        <w:jc w:val="both"/>
        <w:rPr>
          <w:rFonts w:asciiTheme="minorHAnsi" w:hAnsiTheme="minorHAnsi"/>
          <w:b/>
          <w:bCs/>
          <w:sz w:val="22"/>
          <w:szCs w:val="22"/>
        </w:rPr>
      </w:pPr>
    </w:p>
    <w:p w:rsidR="00151C68" w:rsidRPr="001B2353" w:rsidRDefault="00151C68" w:rsidP="00357BFD">
      <w:pPr>
        <w:pStyle w:val="Default"/>
        <w:spacing w:line="360" w:lineRule="auto"/>
        <w:jc w:val="both"/>
        <w:rPr>
          <w:rFonts w:asciiTheme="minorHAnsi" w:hAnsiTheme="minorHAnsi"/>
          <w:sz w:val="22"/>
          <w:szCs w:val="22"/>
          <w:u w:val="single"/>
        </w:rPr>
      </w:pPr>
      <w:r w:rsidRPr="001B2353">
        <w:rPr>
          <w:rFonts w:asciiTheme="minorHAnsi" w:hAnsiTheme="minorHAnsi"/>
          <w:b/>
          <w:bCs/>
          <w:sz w:val="22"/>
          <w:szCs w:val="22"/>
          <w:u w:val="single"/>
        </w:rPr>
        <w:t xml:space="preserve">ZAŁĄCZNIKI </w:t>
      </w:r>
    </w:p>
    <w:p w:rsidR="00151C68" w:rsidRPr="001B2353" w:rsidRDefault="00151C68" w:rsidP="00357BFD">
      <w:pPr>
        <w:pStyle w:val="Default"/>
        <w:spacing w:line="360" w:lineRule="auto"/>
        <w:jc w:val="both"/>
        <w:rPr>
          <w:rFonts w:asciiTheme="minorHAnsi" w:hAnsiTheme="minorHAnsi"/>
          <w:sz w:val="22"/>
          <w:szCs w:val="22"/>
        </w:rPr>
      </w:pPr>
      <w:r w:rsidRPr="001B2353">
        <w:rPr>
          <w:rFonts w:asciiTheme="minorHAnsi" w:hAnsiTheme="minorHAnsi"/>
          <w:sz w:val="22"/>
          <w:szCs w:val="22"/>
        </w:rPr>
        <w:t xml:space="preserve">ZAŁĄCZNIK 1: Podstawowe zadania /projekty/ zgłoszone do realizacji w ramach Dolnośląskiego Regionalnego Planu Działań na Rzecz </w:t>
      </w:r>
      <w:r w:rsidR="00FB4E54">
        <w:rPr>
          <w:rFonts w:asciiTheme="minorHAnsi" w:hAnsiTheme="minorHAnsi"/>
          <w:sz w:val="22"/>
          <w:szCs w:val="22"/>
        </w:rPr>
        <w:t>Z</w:t>
      </w:r>
      <w:r w:rsidRPr="001B2353">
        <w:rPr>
          <w:rFonts w:asciiTheme="minorHAnsi" w:hAnsiTheme="minorHAnsi"/>
          <w:sz w:val="22"/>
          <w:szCs w:val="22"/>
        </w:rPr>
        <w:t>atrudnienia na 201</w:t>
      </w:r>
      <w:r w:rsidR="00C7155E" w:rsidRPr="001B2353">
        <w:rPr>
          <w:rFonts w:asciiTheme="minorHAnsi" w:hAnsiTheme="minorHAnsi"/>
          <w:sz w:val="22"/>
          <w:szCs w:val="22"/>
        </w:rPr>
        <w:t>4</w:t>
      </w:r>
      <w:r w:rsidRPr="001B2353">
        <w:rPr>
          <w:rFonts w:asciiTheme="minorHAnsi" w:hAnsiTheme="minorHAnsi"/>
          <w:sz w:val="22"/>
          <w:szCs w:val="22"/>
        </w:rPr>
        <w:t xml:space="preserve"> rok</w:t>
      </w:r>
      <w:r w:rsidR="00715BC1" w:rsidRPr="001B2353">
        <w:rPr>
          <w:rFonts w:asciiTheme="minorHAnsi" w:hAnsiTheme="minorHAnsi"/>
          <w:sz w:val="22"/>
          <w:szCs w:val="22"/>
        </w:rPr>
        <w:t>.</w:t>
      </w:r>
      <w:r w:rsidRPr="001B2353">
        <w:rPr>
          <w:rFonts w:asciiTheme="minorHAnsi" w:hAnsiTheme="minorHAnsi"/>
          <w:sz w:val="22"/>
          <w:szCs w:val="22"/>
        </w:rPr>
        <w:t xml:space="preserve"> </w:t>
      </w:r>
    </w:p>
    <w:p w:rsidR="00151C68" w:rsidRPr="001B2353" w:rsidRDefault="00151C68" w:rsidP="00357BFD">
      <w:pPr>
        <w:pStyle w:val="Default"/>
        <w:spacing w:line="360" w:lineRule="auto"/>
        <w:jc w:val="both"/>
        <w:rPr>
          <w:rFonts w:asciiTheme="minorHAnsi" w:hAnsiTheme="minorHAnsi"/>
          <w:sz w:val="22"/>
          <w:szCs w:val="22"/>
        </w:rPr>
      </w:pPr>
      <w:r w:rsidRPr="001B2353">
        <w:rPr>
          <w:rFonts w:asciiTheme="minorHAnsi" w:hAnsiTheme="minorHAnsi"/>
          <w:sz w:val="22"/>
          <w:szCs w:val="22"/>
        </w:rPr>
        <w:t>ZAŁĄCZNIK 2: Struktura bezrobotnych w województwie dolnośląskim na tle struktury w kraju</w:t>
      </w:r>
      <w:r w:rsidR="00715BC1" w:rsidRPr="001B2353">
        <w:rPr>
          <w:rFonts w:asciiTheme="minorHAnsi" w:hAnsiTheme="minorHAnsi"/>
          <w:sz w:val="22"/>
          <w:szCs w:val="22"/>
        </w:rPr>
        <w:t>.</w:t>
      </w:r>
      <w:r w:rsidRPr="001B2353">
        <w:rPr>
          <w:rFonts w:asciiTheme="minorHAnsi" w:hAnsiTheme="minorHAnsi"/>
          <w:sz w:val="22"/>
          <w:szCs w:val="22"/>
        </w:rPr>
        <w:t xml:space="preserve"> </w:t>
      </w:r>
    </w:p>
    <w:p w:rsidR="00151C68" w:rsidRPr="001B2353" w:rsidRDefault="00151C68" w:rsidP="00357BFD">
      <w:pPr>
        <w:pStyle w:val="Default"/>
        <w:spacing w:line="360" w:lineRule="auto"/>
        <w:jc w:val="both"/>
        <w:rPr>
          <w:rFonts w:asciiTheme="minorHAnsi" w:hAnsiTheme="minorHAnsi"/>
          <w:sz w:val="22"/>
          <w:szCs w:val="22"/>
        </w:rPr>
      </w:pPr>
      <w:r w:rsidRPr="001B2353">
        <w:rPr>
          <w:rFonts w:asciiTheme="minorHAnsi" w:hAnsiTheme="minorHAnsi"/>
          <w:sz w:val="22"/>
          <w:szCs w:val="22"/>
        </w:rPr>
        <w:t>ZAŁĄCZNIK 3: Zarejestrowani bezrobotni w wojew. dolnośląskim według podregionów</w:t>
      </w:r>
      <w:r w:rsidR="00FB4E54">
        <w:rPr>
          <w:rFonts w:asciiTheme="minorHAnsi" w:hAnsiTheme="minorHAnsi"/>
          <w:sz w:val="22"/>
          <w:szCs w:val="22"/>
        </w:rPr>
        <w:t xml:space="preserve"> i  powiatów w </w:t>
      </w:r>
      <w:r w:rsidRPr="001B2353">
        <w:rPr>
          <w:rFonts w:asciiTheme="minorHAnsi" w:hAnsiTheme="minorHAnsi"/>
          <w:sz w:val="22"/>
          <w:szCs w:val="22"/>
        </w:rPr>
        <w:t>okresie grudzień 201</w:t>
      </w:r>
      <w:r w:rsidR="005B69C8" w:rsidRPr="001B2353">
        <w:rPr>
          <w:rFonts w:asciiTheme="minorHAnsi" w:hAnsiTheme="minorHAnsi"/>
          <w:sz w:val="22"/>
          <w:szCs w:val="22"/>
        </w:rPr>
        <w:t>2</w:t>
      </w:r>
      <w:r w:rsidRPr="001B2353">
        <w:rPr>
          <w:rFonts w:asciiTheme="minorHAnsi" w:hAnsiTheme="minorHAnsi"/>
          <w:sz w:val="22"/>
          <w:szCs w:val="22"/>
        </w:rPr>
        <w:t xml:space="preserve"> - grudzień 201</w:t>
      </w:r>
      <w:r w:rsidR="005B69C8" w:rsidRPr="001B2353">
        <w:rPr>
          <w:rFonts w:asciiTheme="minorHAnsi" w:hAnsiTheme="minorHAnsi"/>
          <w:sz w:val="22"/>
          <w:szCs w:val="22"/>
        </w:rPr>
        <w:t>3</w:t>
      </w:r>
      <w:r w:rsidR="00715BC1" w:rsidRPr="001B2353">
        <w:rPr>
          <w:rFonts w:asciiTheme="minorHAnsi" w:hAnsiTheme="minorHAnsi"/>
          <w:sz w:val="22"/>
          <w:szCs w:val="22"/>
        </w:rPr>
        <w:t>.</w:t>
      </w:r>
      <w:r w:rsidRPr="001B2353">
        <w:rPr>
          <w:rFonts w:asciiTheme="minorHAnsi" w:hAnsiTheme="minorHAnsi"/>
          <w:sz w:val="22"/>
          <w:szCs w:val="22"/>
        </w:rPr>
        <w:t xml:space="preserve"> </w:t>
      </w:r>
    </w:p>
    <w:p w:rsidR="00151C68" w:rsidRPr="001B2353" w:rsidRDefault="00151C68" w:rsidP="00357BFD">
      <w:pPr>
        <w:pStyle w:val="Default"/>
        <w:spacing w:line="360" w:lineRule="auto"/>
        <w:jc w:val="both"/>
        <w:rPr>
          <w:rFonts w:asciiTheme="minorHAnsi" w:hAnsiTheme="minorHAnsi"/>
          <w:sz w:val="22"/>
          <w:szCs w:val="22"/>
        </w:rPr>
      </w:pPr>
      <w:r w:rsidRPr="001B2353">
        <w:rPr>
          <w:rFonts w:asciiTheme="minorHAnsi" w:hAnsiTheme="minorHAnsi"/>
          <w:sz w:val="22"/>
          <w:szCs w:val="22"/>
        </w:rPr>
        <w:t>ZAŁĄCZNIK 4: Stopa bezrobocia w woj. dolnośląskim według podregionów i powiatów w okresie grudzień 201</w:t>
      </w:r>
      <w:r w:rsidR="005B69C8" w:rsidRPr="001B2353">
        <w:rPr>
          <w:rFonts w:asciiTheme="minorHAnsi" w:hAnsiTheme="minorHAnsi"/>
          <w:sz w:val="22"/>
          <w:szCs w:val="22"/>
        </w:rPr>
        <w:t>2</w:t>
      </w:r>
      <w:r w:rsidRPr="001B2353">
        <w:rPr>
          <w:rFonts w:asciiTheme="minorHAnsi" w:hAnsiTheme="minorHAnsi"/>
          <w:sz w:val="22"/>
          <w:szCs w:val="22"/>
        </w:rPr>
        <w:t xml:space="preserve"> - grudzień 201</w:t>
      </w:r>
      <w:r w:rsidR="005B69C8" w:rsidRPr="001B2353">
        <w:rPr>
          <w:rFonts w:asciiTheme="minorHAnsi" w:hAnsiTheme="minorHAnsi"/>
          <w:sz w:val="22"/>
          <w:szCs w:val="22"/>
        </w:rPr>
        <w:t>3</w:t>
      </w:r>
      <w:r w:rsidR="00715BC1" w:rsidRPr="001B2353">
        <w:rPr>
          <w:rFonts w:asciiTheme="minorHAnsi" w:hAnsiTheme="minorHAnsi"/>
          <w:sz w:val="22"/>
          <w:szCs w:val="22"/>
        </w:rPr>
        <w:t>.</w:t>
      </w:r>
      <w:r w:rsidRPr="001B2353">
        <w:rPr>
          <w:rFonts w:asciiTheme="minorHAnsi" w:hAnsiTheme="minorHAnsi"/>
          <w:sz w:val="22"/>
          <w:szCs w:val="22"/>
        </w:rPr>
        <w:t xml:space="preserve"> </w:t>
      </w:r>
    </w:p>
    <w:p w:rsidR="00151C68" w:rsidRPr="001B2353" w:rsidRDefault="00151C68" w:rsidP="00357BFD">
      <w:pPr>
        <w:pStyle w:val="Default"/>
        <w:spacing w:line="360" w:lineRule="auto"/>
        <w:jc w:val="both"/>
        <w:rPr>
          <w:rFonts w:asciiTheme="minorHAnsi" w:hAnsiTheme="minorHAnsi"/>
          <w:sz w:val="22"/>
          <w:szCs w:val="22"/>
        </w:rPr>
      </w:pPr>
      <w:r w:rsidRPr="001B2353">
        <w:rPr>
          <w:rFonts w:asciiTheme="minorHAnsi" w:hAnsiTheme="minorHAnsi"/>
          <w:sz w:val="22"/>
          <w:szCs w:val="22"/>
        </w:rPr>
        <w:t>ZAŁACZNIK 5: Udział osób będących w szczególnej sytuacji na rynku pracy w ogólnej liczbie zarejestrowanych bezrobotnych</w:t>
      </w:r>
      <w:r w:rsidR="00715BC1" w:rsidRPr="001B2353">
        <w:rPr>
          <w:rFonts w:asciiTheme="minorHAnsi" w:hAnsiTheme="minorHAnsi"/>
          <w:sz w:val="22"/>
          <w:szCs w:val="22"/>
        </w:rPr>
        <w:t>.</w:t>
      </w:r>
      <w:r w:rsidRPr="001B2353">
        <w:rPr>
          <w:rFonts w:asciiTheme="minorHAnsi" w:hAnsiTheme="minorHAnsi"/>
          <w:sz w:val="22"/>
          <w:szCs w:val="22"/>
        </w:rPr>
        <w:t xml:space="preserve"> </w:t>
      </w:r>
    </w:p>
    <w:p w:rsidR="00151C68" w:rsidRPr="001B2353" w:rsidRDefault="00151C68" w:rsidP="00357BFD">
      <w:pPr>
        <w:pStyle w:val="Default"/>
        <w:spacing w:line="360" w:lineRule="auto"/>
        <w:jc w:val="both"/>
        <w:rPr>
          <w:rFonts w:asciiTheme="minorHAnsi" w:hAnsiTheme="minorHAnsi"/>
          <w:sz w:val="22"/>
          <w:szCs w:val="22"/>
        </w:rPr>
      </w:pPr>
      <w:r w:rsidRPr="001B2353">
        <w:rPr>
          <w:rFonts w:asciiTheme="minorHAnsi" w:hAnsiTheme="minorHAnsi"/>
          <w:sz w:val="22"/>
          <w:szCs w:val="22"/>
        </w:rPr>
        <w:t xml:space="preserve">ZAŁĄCZNIK 6: Bezrobotni objęci subsydiowanymi programami rynku pracy w województwie dolnośląskim </w:t>
      </w:r>
      <w:r w:rsidR="00715BC1" w:rsidRPr="001B2353">
        <w:rPr>
          <w:rFonts w:asciiTheme="minorHAnsi" w:hAnsiTheme="minorHAnsi"/>
          <w:sz w:val="22"/>
          <w:szCs w:val="22"/>
        </w:rPr>
        <w:br/>
      </w:r>
      <w:r w:rsidRPr="001B2353">
        <w:rPr>
          <w:rFonts w:asciiTheme="minorHAnsi" w:hAnsiTheme="minorHAnsi"/>
          <w:sz w:val="22"/>
          <w:szCs w:val="22"/>
        </w:rPr>
        <w:t>w latach 201</w:t>
      </w:r>
      <w:r w:rsidR="005B69C8" w:rsidRPr="001B2353">
        <w:rPr>
          <w:rFonts w:asciiTheme="minorHAnsi" w:hAnsiTheme="minorHAnsi"/>
          <w:sz w:val="22"/>
          <w:szCs w:val="22"/>
        </w:rPr>
        <w:t>2</w:t>
      </w:r>
      <w:r w:rsidRPr="001B2353">
        <w:rPr>
          <w:rFonts w:asciiTheme="minorHAnsi" w:hAnsiTheme="minorHAnsi"/>
          <w:sz w:val="22"/>
          <w:szCs w:val="22"/>
        </w:rPr>
        <w:t>-201</w:t>
      </w:r>
      <w:r w:rsidR="005B69C8" w:rsidRPr="001B2353">
        <w:rPr>
          <w:rFonts w:asciiTheme="minorHAnsi" w:hAnsiTheme="minorHAnsi"/>
          <w:sz w:val="22"/>
          <w:szCs w:val="22"/>
        </w:rPr>
        <w:t>3</w:t>
      </w:r>
      <w:r w:rsidRPr="001B2353">
        <w:rPr>
          <w:rFonts w:asciiTheme="minorHAnsi" w:hAnsiTheme="minorHAnsi"/>
          <w:sz w:val="22"/>
          <w:szCs w:val="22"/>
        </w:rPr>
        <w:t xml:space="preserve">. </w:t>
      </w:r>
    </w:p>
    <w:p w:rsidR="00151C68" w:rsidRPr="001B2353" w:rsidRDefault="00151C68" w:rsidP="00357BFD">
      <w:pPr>
        <w:pStyle w:val="Default"/>
        <w:spacing w:line="360" w:lineRule="auto"/>
        <w:jc w:val="both"/>
        <w:rPr>
          <w:rFonts w:asciiTheme="minorHAnsi" w:hAnsiTheme="minorHAnsi"/>
          <w:sz w:val="22"/>
          <w:szCs w:val="22"/>
        </w:rPr>
      </w:pPr>
      <w:r w:rsidRPr="001B2353">
        <w:rPr>
          <w:rFonts w:asciiTheme="minorHAnsi" w:hAnsiTheme="minorHAnsi"/>
          <w:sz w:val="22"/>
          <w:szCs w:val="22"/>
        </w:rPr>
        <w:t>ZAŁĄCZNIK 7: Stopa bezrobocia w województwie dolnośląskim w układzie powiatów – stan na 31.12. 201</w:t>
      </w:r>
      <w:r w:rsidR="005B69C8" w:rsidRPr="001B2353">
        <w:rPr>
          <w:rFonts w:asciiTheme="minorHAnsi" w:hAnsiTheme="minorHAnsi"/>
          <w:sz w:val="22"/>
          <w:szCs w:val="22"/>
        </w:rPr>
        <w:t>3</w:t>
      </w:r>
      <w:r w:rsidR="00715BC1" w:rsidRPr="001B2353">
        <w:rPr>
          <w:rFonts w:asciiTheme="minorHAnsi" w:hAnsiTheme="minorHAnsi"/>
          <w:sz w:val="22"/>
          <w:szCs w:val="22"/>
        </w:rPr>
        <w:t>.</w:t>
      </w:r>
      <w:r w:rsidRPr="001B2353">
        <w:rPr>
          <w:rFonts w:asciiTheme="minorHAnsi" w:hAnsiTheme="minorHAnsi"/>
          <w:sz w:val="22"/>
          <w:szCs w:val="22"/>
        </w:rPr>
        <w:t xml:space="preserve"> </w:t>
      </w:r>
    </w:p>
    <w:p w:rsidR="00151C68" w:rsidRPr="001B2353" w:rsidRDefault="00151C68" w:rsidP="00357BFD">
      <w:pPr>
        <w:pStyle w:val="Default"/>
        <w:spacing w:line="360" w:lineRule="auto"/>
        <w:jc w:val="both"/>
        <w:rPr>
          <w:rFonts w:asciiTheme="minorHAnsi" w:hAnsiTheme="minorHAnsi"/>
          <w:sz w:val="22"/>
          <w:szCs w:val="22"/>
        </w:rPr>
      </w:pPr>
      <w:r w:rsidRPr="001B2353">
        <w:rPr>
          <w:rFonts w:asciiTheme="minorHAnsi" w:hAnsiTheme="minorHAnsi"/>
          <w:sz w:val="22"/>
          <w:szCs w:val="22"/>
        </w:rPr>
        <w:t>ZAŁĄCZNIK 8: Liczba bezrobotnych w województwie dolnośląskim w układzie powiatów – stan na 31.12.201</w:t>
      </w:r>
      <w:r w:rsidR="005B69C8" w:rsidRPr="001B2353">
        <w:rPr>
          <w:rFonts w:asciiTheme="minorHAnsi" w:hAnsiTheme="minorHAnsi"/>
          <w:sz w:val="22"/>
          <w:szCs w:val="22"/>
        </w:rPr>
        <w:t>3</w:t>
      </w:r>
      <w:r w:rsidR="00715BC1" w:rsidRPr="001B2353">
        <w:rPr>
          <w:rFonts w:asciiTheme="minorHAnsi" w:hAnsiTheme="minorHAnsi"/>
          <w:sz w:val="22"/>
          <w:szCs w:val="22"/>
        </w:rPr>
        <w:t xml:space="preserve"> </w:t>
      </w:r>
      <w:r w:rsidRPr="001B2353">
        <w:rPr>
          <w:rFonts w:asciiTheme="minorHAnsi" w:hAnsiTheme="minorHAnsi"/>
          <w:sz w:val="22"/>
          <w:szCs w:val="22"/>
        </w:rPr>
        <w:t xml:space="preserve">w tys. osób.  </w:t>
      </w:r>
    </w:p>
    <w:p w:rsidR="00151C68" w:rsidRPr="001B2353" w:rsidRDefault="00151C68" w:rsidP="00357BFD">
      <w:pPr>
        <w:pStyle w:val="Default"/>
        <w:spacing w:line="360" w:lineRule="auto"/>
        <w:jc w:val="both"/>
        <w:rPr>
          <w:rFonts w:asciiTheme="minorHAnsi" w:hAnsiTheme="minorHAnsi" w:cstheme="minorBidi"/>
          <w:color w:val="auto"/>
          <w:sz w:val="22"/>
          <w:szCs w:val="22"/>
        </w:rPr>
      </w:pPr>
    </w:p>
    <w:p w:rsidR="00151C68" w:rsidRPr="001B2353" w:rsidRDefault="00151C68" w:rsidP="00715BC1">
      <w:pPr>
        <w:pStyle w:val="Default"/>
        <w:pageBreakBefore/>
        <w:spacing w:line="360" w:lineRule="auto"/>
        <w:jc w:val="center"/>
        <w:rPr>
          <w:rFonts w:asciiTheme="minorHAnsi" w:hAnsiTheme="minorHAnsi"/>
          <w:color w:val="auto"/>
          <w:sz w:val="22"/>
          <w:szCs w:val="22"/>
        </w:rPr>
      </w:pPr>
      <w:r w:rsidRPr="001B2353">
        <w:rPr>
          <w:rFonts w:asciiTheme="minorHAnsi" w:hAnsiTheme="minorHAnsi"/>
          <w:b/>
          <w:bCs/>
          <w:color w:val="auto"/>
          <w:sz w:val="22"/>
          <w:szCs w:val="22"/>
        </w:rPr>
        <w:lastRenderedPageBreak/>
        <w:t>WPROWADZENIE</w:t>
      </w:r>
    </w:p>
    <w:p w:rsidR="00B534E6" w:rsidRPr="001B2353" w:rsidRDefault="00B534E6" w:rsidP="00357BFD">
      <w:pPr>
        <w:pStyle w:val="Default"/>
        <w:spacing w:line="360" w:lineRule="auto"/>
        <w:jc w:val="both"/>
        <w:rPr>
          <w:rFonts w:asciiTheme="minorHAnsi" w:hAnsiTheme="minorHAnsi"/>
          <w:color w:val="auto"/>
          <w:sz w:val="22"/>
          <w:szCs w:val="22"/>
        </w:rPr>
      </w:pPr>
    </w:p>
    <w:p w:rsidR="00151C68" w:rsidRPr="001B2353" w:rsidRDefault="00151C68" w:rsidP="00357BFD">
      <w:pPr>
        <w:pStyle w:val="Default"/>
        <w:spacing w:line="360" w:lineRule="auto"/>
        <w:ind w:firstLine="709"/>
        <w:jc w:val="both"/>
        <w:rPr>
          <w:rFonts w:asciiTheme="minorHAnsi" w:hAnsiTheme="minorHAnsi"/>
          <w:color w:val="auto"/>
          <w:sz w:val="22"/>
          <w:szCs w:val="22"/>
        </w:rPr>
      </w:pPr>
      <w:r w:rsidRPr="001B2353">
        <w:rPr>
          <w:rFonts w:asciiTheme="minorHAnsi" w:hAnsiTheme="minorHAnsi"/>
          <w:color w:val="auto"/>
          <w:sz w:val="22"/>
          <w:szCs w:val="22"/>
        </w:rPr>
        <w:t>Dolnośląski Regionalny Plan Działań na Rzecz Zatrudnienia</w:t>
      </w:r>
      <w:r w:rsidR="00B534E6" w:rsidRPr="001B2353">
        <w:rPr>
          <w:rFonts w:asciiTheme="minorHAnsi" w:hAnsiTheme="minorHAnsi"/>
          <w:color w:val="auto"/>
          <w:sz w:val="22"/>
          <w:szCs w:val="22"/>
        </w:rPr>
        <w:t xml:space="preserve"> na 201</w:t>
      </w:r>
      <w:r w:rsidR="005B69C8" w:rsidRPr="001B2353">
        <w:rPr>
          <w:rFonts w:asciiTheme="minorHAnsi" w:hAnsiTheme="minorHAnsi"/>
          <w:color w:val="auto"/>
          <w:sz w:val="22"/>
          <w:szCs w:val="22"/>
        </w:rPr>
        <w:t>4</w:t>
      </w:r>
      <w:r w:rsidR="00B534E6" w:rsidRPr="001B2353">
        <w:rPr>
          <w:rFonts w:asciiTheme="minorHAnsi" w:hAnsiTheme="minorHAnsi"/>
          <w:color w:val="auto"/>
          <w:sz w:val="22"/>
          <w:szCs w:val="22"/>
        </w:rPr>
        <w:t xml:space="preserve"> rok,</w:t>
      </w:r>
      <w:r w:rsidRPr="001B2353">
        <w:rPr>
          <w:rFonts w:asciiTheme="minorHAnsi" w:hAnsiTheme="minorHAnsi"/>
          <w:color w:val="auto"/>
          <w:sz w:val="22"/>
          <w:szCs w:val="22"/>
        </w:rPr>
        <w:t xml:space="preserve"> zgodnie z art.3 ust.4 ustawy z dnia 20 kwietnia 2004 r. o promocji zatrudnienia i instytucjach rynku pracy przygotowuje corocznie Samorząd Województwa</w:t>
      </w:r>
      <w:r w:rsidR="00F21245" w:rsidRPr="001B2353">
        <w:rPr>
          <w:rFonts w:asciiTheme="minorHAnsi" w:hAnsiTheme="minorHAnsi"/>
          <w:color w:val="auto"/>
          <w:sz w:val="22"/>
          <w:szCs w:val="22"/>
        </w:rPr>
        <w:t>,</w:t>
      </w:r>
      <w:r w:rsidRPr="001B2353">
        <w:rPr>
          <w:rFonts w:asciiTheme="minorHAnsi" w:hAnsiTheme="minorHAnsi"/>
          <w:color w:val="auto"/>
          <w:sz w:val="22"/>
          <w:szCs w:val="22"/>
        </w:rPr>
        <w:t xml:space="preserve"> na podstawie Krajowego Planu Działań na Rzecz Zatrudnienia, uwzględniając strategię rozwoju województwa oraz strategię wojewódzką w zakresie polityki społecznej. </w:t>
      </w:r>
    </w:p>
    <w:p w:rsidR="00151C68" w:rsidRPr="001B2353" w:rsidRDefault="00151C68" w:rsidP="00357BFD">
      <w:pPr>
        <w:pStyle w:val="Default"/>
        <w:spacing w:line="360" w:lineRule="auto"/>
        <w:ind w:firstLine="709"/>
        <w:jc w:val="both"/>
        <w:rPr>
          <w:rFonts w:asciiTheme="minorHAnsi" w:hAnsiTheme="minorHAnsi"/>
          <w:color w:val="auto"/>
          <w:sz w:val="22"/>
          <w:szCs w:val="22"/>
        </w:rPr>
      </w:pPr>
      <w:r w:rsidRPr="001B2353">
        <w:rPr>
          <w:rFonts w:asciiTheme="minorHAnsi" w:hAnsiTheme="minorHAnsi"/>
          <w:color w:val="auto"/>
          <w:sz w:val="22"/>
          <w:szCs w:val="22"/>
        </w:rPr>
        <w:t>Plan ten określa w szczególności najistotniejsze działania i zadania jakie</w:t>
      </w:r>
      <w:r w:rsidR="00A853BF" w:rsidRPr="001B2353">
        <w:rPr>
          <w:rFonts w:asciiTheme="minorHAnsi" w:hAnsiTheme="minorHAnsi"/>
          <w:color w:val="auto"/>
          <w:sz w:val="22"/>
          <w:szCs w:val="22"/>
        </w:rPr>
        <w:t xml:space="preserve"> są i</w:t>
      </w:r>
      <w:r w:rsidRPr="001B2353">
        <w:rPr>
          <w:rFonts w:asciiTheme="minorHAnsi" w:hAnsiTheme="minorHAnsi"/>
          <w:color w:val="auto"/>
          <w:sz w:val="22"/>
          <w:szCs w:val="22"/>
        </w:rPr>
        <w:t xml:space="preserve"> będą podejmowane </w:t>
      </w:r>
      <w:r w:rsidR="00715BC1" w:rsidRPr="001B2353">
        <w:rPr>
          <w:rFonts w:asciiTheme="minorHAnsi" w:hAnsiTheme="minorHAnsi"/>
          <w:color w:val="auto"/>
          <w:sz w:val="22"/>
          <w:szCs w:val="22"/>
        </w:rPr>
        <w:br/>
      </w:r>
      <w:r w:rsidRPr="001B2353">
        <w:rPr>
          <w:rFonts w:asciiTheme="minorHAnsi" w:hAnsiTheme="minorHAnsi"/>
          <w:color w:val="auto"/>
          <w:sz w:val="22"/>
          <w:szCs w:val="22"/>
        </w:rPr>
        <w:t>w regionie w obszarze rynku pracy, wynikające z ustawy o promocji zatrudnienia</w:t>
      </w:r>
      <w:r w:rsidR="00E01C19" w:rsidRPr="001B2353">
        <w:rPr>
          <w:rFonts w:asciiTheme="minorHAnsi" w:hAnsiTheme="minorHAnsi"/>
          <w:color w:val="auto"/>
          <w:sz w:val="22"/>
          <w:szCs w:val="22"/>
        </w:rPr>
        <w:t xml:space="preserve"> </w:t>
      </w:r>
      <w:r w:rsidRPr="001B2353">
        <w:rPr>
          <w:rFonts w:asciiTheme="minorHAnsi" w:hAnsiTheme="minorHAnsi"/>
          <w:color w:val="auto"/>
          <w:sz w:val="22"/>
          <w:szCs w:val="22"/>
        </w:rPr>
        <w:t>i instytucjach rynku pracy, a także określa priorytetowe grupy bezrobotnych i innych osób wymagających wsparcia na</w:t>
      </w:r>
      <w:r w:rsidR="00A853BF" w:rsidRPr="001B2353">
        <w:rPr>
          <w:rFonts w:asciiTheme="minorHAnsi" w:hAnsiTheme="minorHAnsi"/>
          <w:color w:val="auto"/>
          <w:sz w:val="22"/>
          <w:szCs w:val="22"/>
        </w:rPr>
        <w:t xml:space="preserve"> tym r</w:t>
      </w:r>
      <w:r w:rsidRPr="001B2353">
        <w:rPr>
          <w:rFonts w:asciiTheme="minorHAnsi" w:hAnsiTheme="minorHAnsi"/>
          <w:color w:val="auto"/>
          <w:sz w:val="22"/>
          <w:szCs w:val="22"/>
        </w:rPr>
        <w:t>ynku</w:t>
      </w:r>
      <w:r w:rsidR="00A853BF" w:rsidRPr="001B2353">
        <w:rPr>
          <w:rFonts w:asciiTheme="minorHAnsi" w:hAnsiTheme="minorHAnsi"/>
          <w:color w:val="auto"/>
          <w:sz w:val="22"/>
          <w:szCs w:val="22"/>
        </w:rPr>
        <w:t>.</w:t>
      </w:r>
      <w:r w:rsidRPr="001B2353">
        <w:rPr>
          <w:rFonts w:asciiTheme="minorHAnsi" w:hAnsiTheme="minorHAnsi"/>
          <w:color w:val="auto"/>
          <w:sz w:val="22"/>
          <w:szCs w:val="22"/>
        </w:rPr>
        <w:t xml:space="preserve"> Określa także najistotniejsze działania jakie będą podejmowane na terenie województwa w obszarze rynku pracy, które wykraczają poza standardowe usługi i zadania wynikające z ustawy o promocji zatrudnienia </w:t>
      </w:r>
      <w:r w:rsidR="00715BC1" w:rsidRPr="001B2353">
        <w:rPr>
          <w:rFonts w:asciiTheme="minorHAnsi" w:hAnsiTheme="minorHAnsi"/>
          <w:color w:val="auto"/>
          <w:sz w:val="22"/>
          <w:szCs w:val="22"/>
        </w:rPr>
        <w:br/>
      </w:r>
      <w:r w:rsidRPr="001B2353">
        <w:rPr>
          <w:rFonts w:asciiTheme="minorHAnsi" w:hAnsiTheme="minorHAnsi"/>
          <w:color w:val="auto"/>
          <w:sz w:val="22"/>
          <w:szCs w:val="22"/>
        </w:rPr>
        <w:t xml:space="preserve">i instytucjach rynku pracy. </w:t>
      </w:r>
    </w:p>
    <w:p w:rsidR="00151C68" w:rsidRPr="001B2353" w:rsidRDefault="00151C68" w:rsidP="00357BFD">
      <w:pPr>
        <w:pStyle w:val="Default"/>
        <w:spacing w:line="360" w:lineRule="auto"/>
        <w:ind w:firstLine="708"/>
        <w:jc w:val="both"/>
        <w:rPr>
          <w:rFonts w:asciiTheme="minorHAnsi" w:hAnsiTheme="minorHAnsi"/>
          <w:color w:val="auto"/>
          <w:sz w:val="22"/>
          <w:szCs w:val="22"/>
        </w:rPr>
      </w:pPr>
      <w:r w:rsidRPr="001B2353">
        <w:rPr>
          <w:rFonts w:asciiTheme="minorHAnsi" w:hAnsiTheme="minorHAnsi"/>
          <w:color w:val="auto"/>
          <w:sz w:val="22"/>
          <w:szCs w:val="22"/>
        </w:rPr>
        <w:t>Krajow</w:t>
      </w:r>
      <w:r w:rsidR="00F21245" w:rsidRPr="001B2353">
        <w:rPr>
          <w:rFonts w:asciiTheme="minorHAnsi" w:hAnsiTheme="minorHAnsi"/>
          <w:color w:val="auto"/>
          <w:sz w:val="22"/>
          <w:szCs w:val="22"/>
        </w:rPr>
        <w:t xml:space="preserve">y </w:t>
      </w:r>
      <w:r w:rsidRPr="001B2353">
        <w:rPr>
          <w:rFonts w:asciiTheme="minorHAnsi" w:hAnsiTheme="minorHAnsi"/>
          <w:color w:val="auto"/>
          <w:sz w:val="22"/>
          <w:szCs w:val="22"/>
        </w:rPr>
        <w:t>Plan Działań na Rzecz Zatrudnienia na lata 2012-2014 odwołuj</w:t>
      </w:r>
      <w:r w:rsidR="00F21245" w:rsidRPr="001B2353">
        <w:rPr>
          <w:rFonts w:asciiTheme="minorHAnsi" w:hAnsiTheme="minorHAnsi"/>
          <w:color w:val="auto"/>
          <w:sz w:val="22"/>
          <w:szCs w:val="22"/>
        </w:rPr>
        <w:t>e</w:t>
      </w:r>
      <w:r w:rsidRPr="001B2353">
        <w:rPr>
          <w:rFonts w:asciiTheme="minorHAnsi" w:hAnsiTheme="minorHAnsi"/>
          <w:color w:val="auto"/>
          <w:sz w:val="22"/>
          <w:szCs w:val="22"/>
        </w:rPr>
        <w:t xml:space="preserve"> się do Europejskiej Strategii Zatrudnienia oraz krajowych dokumentów strategicznych</w:t>
      </w:r>
      <w:r w:rsidR="00F21245" w:rsidRPr="001B2353">
        <w:rPr>
          <w:rFonts w:asciiTheme="minorHAnsi" w:hAnsiTheme="minorHAnsi"/>
          <w:color w:val="auto"/>
          <w:sz w:val="22"/>
          <w:szCs w:val="22"/>
        </w:rPr>
        <w:t>,</w:t>
      </w:r>
      <w:r w:rsidRPr="001B2353">
        <w:rPr>
          <w:rFonts w:asciiTheme="minorHAnsi" w:hAnsiTheme="minorHAnsi"/>
          <w:color w:val="auto"/>
          <w:sz w:val="22"/>
          <w:szCs w:val="22"/>
        </w:rPr>
        <w:t xml:space="preserve"> a w szczególności do Krajowego Programu Reform na rzecz realizacji strategii Europa 2020. </w:t>
      </w:r>
    </w:p>
    <w:p w:rsidR="004B737D" w:rsidRPr="001B2353" w:rsidRDefault="004B737D" w:rsidP="00357BFD">
      <w:pPr>
        <w:pStyle w:val="Default"/>
        <w:spacing w:line="360" w:lineRule="auto"/>
        <w:ind w:firstLine="708"/>
        <w:jc w:val="both"/>
        <w:rPr>
          <w:rFonts w:asciiTheme="minorHAnsi" w:hAnsiTheme="minorHAnsi"/>
          <w:color w:val="auto"/>
          <w:sz w:val="22"/>
          <w:szCs w:val="22"/>
        </w:rPr>
      </w:pPr>
      <w:r w:rsidRPr="001B2353">
        <w:rPr>
          <w:rFonts w:asciiTheme="minorHAnsi" w:hAnsiTheme="minorHAnsi"/>
          <w:color w:val="auto"/>
          <w:sz w:val="22"/>
          <w:szCs w:val="22"/>
        </w:rPr>
        <w:t>Strategia „Europa 2020” ogniskuje się wokół trzech powiązanych ze sobą priorytetów:</w:t>
      </w:r>
    </w:p>
    <w:p w:rsidR="004B737D" w:rsidRPr="001B2353" w:rsidRDefault="004B737D" w:rsidP="00357BFD">
      <w:pPr>
        <w:pStyle w:val="Default"/>
        <w:numPr>
          <w:ilvl w:val="0"/>
          <w:numId w:val="42"/>
        </w:numPr>
        <w:spacing w:line="360" w:lineRule="auto"/>
        <w:jc w:val="both"/>
        <w:rPr>
          <w:rFonts w:asciiTheme="minorHAnsi" w:hAnsiTheme="minorHAnsi"/>
          <w:color w:val="auto"/>
          <w:sz w:val="22"/>
          <w:szCs w:val="22"/>
        </w:rPr>
      </w:pPr>
      <w:r w:rsidRPr="001B2353">
        <w:rPr>
          <w:rFonts w:asciiTheme="minorHAnsi" w:hAnsiTheme="minorHAnsi"/>
          <w:color w:val="auto"/>
          <w:sz w:val="22"/>
          <w:szCs w:val="22"/>
        </w:rPr>
        <w:t>Rozwój inteligentny /rozwój gospodarki opartej na wiedzy i innowacji/,</w:t>
      </w:r>
    </w:p>
    <w:p w:rsidR="004B737D" w:rsidRPr="001B2353" w:rsidRDefault="004B737D" w:rsidP="00357BFD">
      <w:pPr>
        <w:pStyle w:val="Default"/>
        <w:numPr>
          <w:ilvl w:val="0"/>
          <w:numId w:val="42"/>
        </w:numPr>
        <w:spacing w:line="360" w:lineRule="auto"/>
        <w:jc w:val="both"/>
        <w:rPr>
          <w:rFonts w:asciiTheme="minorHAnsi" w:hAnsiTheme="minorHAnsi"/>
          <w:color w:val="auto"/>
          <w:sz w:val="22"/>
          <w:szCs w:val="22"/>
        </w:rPr>
      </w:pPr>
      <w:r w:rsidRPr="001B2353">
        <w:rPr>
          <w:rFonts w:asciiTheme="minorHAnsi" w:hAnsiTheme="minorHAnsi"/>
          <w:color w:val="auto"/>
          <w:sz w:val="22"/>
          <w:szCs w:val="22"/>
        </w:rPr>
        <w:t>Rozwój zrównoważony /wspieranie gospodarki efektywnej korzystającej z zasobów, bardziej konkurencyjnej/,</w:t>
      </w:r>
    </w:p>
    <w:p w:rsidR="004B737D" w:rsidRPr="001B2353" w:rsidRDefault="00C7155E" w:rsidP="00357BFD">
      <w:pPr>
        <w:pStyle w:val="Default"/>
        <w:numPr>
          <w:ilvl w:val="0"/>
          <w:numId w:val="42"/>
        </w:numPr>
        <w:spacing w:line="360" w:lineRule="auto"/>
        <w:jc w:val="both"/>
        <w:rPr>
          <w:rFonts w:asciiTheme="minorHAnsi" w:hAnsiTheme="minorHAnsi"/>
          <w:color w:val="auto"/>
          <w:sz w:val="22"/>
          <w:szCs w:val="22"/>
        </w:rPr>
      </w:pPr>
      <w:r w:rsidRPr="001B2353">
        <w:rPr>
          <w:rFonts w:asciiTheme="minorHAnsi" w:hAnsiTheme="minorHAnsi"/>
          <w:color w:val="auto"/>
          <w:sz w:val="22"/>
          <w:szCs w:val="22"/>
        </w:rPr>
        <w:t>Rozwój sprzyjający włączeniu społecznemu</w:t>
      </w:r>
      <w:r w:rsidR="00FB4E54">
        <w:rPr>
          <w:rFonts w:asciiTheme="minorHAnsi" w:hAnsiTheme="minorHAnsi"/>
          <w:color w:val="auto"/>
          <w:sz w:val="22"/>
          <w:szCs w:val="22"/>
        </w:rPr>
        <w:t xml:space="preserve"> /</w:t>
      </w:r>
      <w:r w:rsidR="004B737D" w:rsidRPr="001B2353">
        <w:rPr>
          <w:rFonts w:asciiTheme="minorHAnsi" w:hAnsiTheme="minorHAnsi"/>
          <w:color w:val="auto"/>
          <w:sz w:val="22"/>
          <w:szCs w:val="22"/>
        </w:rPr>
        <w:t>wspieranie gospodarki o wysokim poziomie zatrudnienia, zapewniającej spójność społeczną i terytorialną/.</w:t>
      </w:r>
    </w:p>
    <w:p w:rsidR="00A25529" w:rsidRPr="001B2353" w:rsidRDefault="00EC2E98" w:rsidP="00357BFD">
      <w:pPr>
        <w:pStyle w:val="Default"/>
        <w:spacing w:line="360" w:lineRule="auto"/>
        <w:jc w:val="both"/>
        <w:rPr>
          <w:rFonts w:asciiTheme="minorHAnsi" w:hAnsiTheme="minorHAnsi"/>
          <w:color w:val="auto"/>
          <w:sz w:val="22"/>
          <w:szCs w:val="22"/>
        </w:rPr>
      </w:pPr>
      <w:r w:rsidRPr="001B2353">
        <w:rPr>
          <w:rFonts w:asciiTheme="minorHAnsi" w:hAnsiTheme="minorHAnsi"/>
          <w:color w:val="auto"/>
          <w:sz w:val="22"/>
          <w:szCs w:val="22"/>
        </w:rPr>
        <w:t>Krajowy Plan Działań na Rzecz Zatrudnienia stanowi punkt wyjścia do poszukiwania nowych, bardziej sprawnych, skutecznych i efektywnych instrumentów i rozwi</w:t>
      </w:r>
      <w:r w:rsidR="0005696D" w:rsidRPr="001B2353">
        <w:rPr>
          <w:rFonts w:asciiTheme="minorHAnsi" w:hAnsiTheme="minorHAnsi"/>
          <w:color w:val="auto"/>
          <w:sz w:val="22"/>
          <w:szCs w:val="22"/>
        </w:rPr>
        <w:t>ą</w:t>
      </w:r>
      <w:r w:rsidRPr="001B2353">
        <w:rPr>
          <w:rFonts w:asciiTheme="minorHAnsi" w:hAnsiTheme="minorHAnsi"/>
          <w:color w:val="auto"/>
          <w:sz w:val="22"/>
          <w:szCs w:val="22"/>
        </w:rPr>
        <w:t>zań w zakresie zarz</w:t>
      </w:r>
      <w:r w:rsidR="0005696D" w:rsidRPr="001B2353">
        <w:rPr>
          <w:rFonts w:asciiTheme="minorHAnsi" w:hAnsiTheme="minorHAnsi"/>
          <w:color w:val="auto"/>
          <w:sz w:val="22"/>
          <w:szCs w:val="22"/>
        </w:rPr>
        <w:t>ą</w:t>
      </w:r>
      <w:r w:rsidRPr="001B2353">
        <w:rPr>
          <w:rFonts w:asciiTheme="minorHAnsi" w:hAnsiTheme="minorHAnsi"/>
          <w:color w:val="auto"/>
          <w:sz w:val="22"/>
          <w:szCs w:val="22"/>
        </w:rPr>
        <w:t>dzania rynkiem pracy.</w:t>
      </w:r>
      <w:r w:rsidR="0005696D" w:rsidRPr="001B2353">
        <w:rPr>
          <w:rFonts w:asciiTheme="minorHAnsi" w:hAnsiTheme="minorHAnsi"/>
          <w:color w:val="auto"/>
          <w:sz w:val="22"/>
          <w:szCs w:val="22"/>
        </w:rPr>
        <w:t xml:space="preserve"> Przewiduje on również większe zaangażowanie partnerów społecznych w realizacje polityki rynku pracy oraz większe zaangażowanie podmiotów prywatnych w a</w:t>
      </w:r>
      <w:r w:rsidR="00C7155E" w:rsidRPr="001B2353">
        <w:rPr>
          <w:rFonts w:asciiTheme="minorHAnsi" w:hAnsiTheme="minorHAnsi"/>
          <w:color w:val="auto"/>
          <w:sz w:val="22"/>
          <w:szCs w:val="22"/>
        </w:rPr>
        <w:t>ktywizowanie i niesienie pomocy</w:t>
      </w:r>
      <w:r w:rsidR="0005696D" w:rsidRPr="001B2353">
        <w:rPr>
          <w:rFonts w:asciiTheme="minorHAnsi" w:hAnsiTheme="minorHAnsi"/>
          <w:color w:val="auto"/>
          <w:sz w:val="22"/>
          <w:szCs w:val="22"/>
        </w:rPr>
        <w:t xml:space="preserve"> bezrobotnym.</w:t>
      </w:r>
    </w:p>
    <w:p w:rsidR="00151C68" w:rsidRPr="001B2353" w:rsidRDefault="00A25529" w:rsidP="00357BFD">
      <w:pPr>
        <w:pStyle w:val="Default"/>
        <w:spacing w:line="360" w:lineRule="auto"/>
        <w:jc w:val="both"/>
        <w:rPr>
          <w:rFonts w:asciiTheme="minorHAnsi" w:hAnsiTheme="minorHAnsi" w:cstheme="minorBidi"/>
          <w:color w:val="auto"/>
          <w:sz w:val="22"/>
          <w:szCs w:val="22"/>
        </w:rPr>
      </w:pPr>
      <w:r w:rsidRPr="001B2353">
        <w:rPr>
          <w:rFonts w:asciiTheme="minorHAnsi" w:hAnsiTheme="minorHAnsi"/>
          <w:color w:val="auto"/>
          <w:sz w:val="22"/>
          <w:szCs w:val="22"/>
        </w:rPr>
        <w:tab/>
      </w:r>
      <w:r w:rsidR="00F66770" w:rsidRPr="001B2353">
        <w:rPr>
          <w:rFonts w:asciiTheme="minorHAnsi" w:hAnsiTheme="minorHAnsi" w:cstheme="minorBidi"/>
          <w:color w:val="auto"/>
          <w:sz w:val="22"/>
          <w:szCs w:val="22"/>
        </w:rPr>
        <w:t>Z</w:t>
      </w:r>
      <w:r w:rsidR="00151C68" w:rsidRPr="001B2353">
        <w:rPr>
          <w:rFonts w:asciiTheme="minorHAnsi" w:hAnsiTheme="minorHAnsi" w:cstheme="minorBidi"/>
          <w:color w:val="auto"/>
          <w:sz w:val="22"/>
          <w:szCs w:val="22"/>
        </w:rPr>
        <w:t xml:space="preserve">godnie z Krajowym Programem Reform na rzecz realizacji Strategii Europa 2020 budowa nowoczesnego rynku pracy sprzyjającego wzrostowi gospodarczemu musi podążać w kierunku wzmacniania wszystkich elementów modelu </w:t>
      </w:r>
      <w:proofErr w:type="spellStart"/>
      <w:r w:rsidR="00151C68" w:rsidRPr="001B2353">
        <w:rPr>
          <w:rFonts w:asciiTheme="minorHAnsi" w:hAnsiTheme="minorHAnsi" w:cstheme="minorBidi"/>
          <w:color w:val="auto"/>
          <w:sz w:val="22"/>
          <w:szCs w:val="22"/>
        </w:rPr>
        <w:t>flexicurity</w:t>
      </w:r>
      <w:proofErr w:type="spellEnd"/>
      <w:r w:rsidR="00151C68" w:rsidRPr="001B2353">
        <w:rPr>
          <w:rFonts w:asciiTheme="minorHAnsi" w:hAnsiTheme="minorHAnsi" w:cstheme="minorBidi"/>
          <w:color w:val="auto"/>
          <w:sz w:val="22"/>
          <w:szCs w:val="22"/>
        </w:rPr>
        <w:t xml:space="preserve">, przy czym głównym priorytetem powinno być sprostanie wyzwaniom związanym z przemianami demograficznymi jakie ujawnią się w przeciągu kilku najbliższych lat poprzez działania służące zwiększaniu zatrudnienia. Program podkreśla potrzebę działań prowadzących do aktywizacji tych grup społecznych, które do tej pory nadal w niewystarczającym stopniu były obecne na rynku pracy - młodzież, kobiety, osoby powyżej 50 roku życia, osoby niepełnosprawne oraz inne grupy pozostające w bierności zawodowej. </w:t>
      </w:r>
    </w:p>
    <w:p w:rsidR="00151C68" w:rsidRPr="001B2353" w:rsidRDefault="00151C68" w:rsidP="00357BFD">
      <w:pPr>
        <w:pStyle w:val="Default"/>
        <w:spacing w:line="360" w:lineRule="auto"/>
        <w:ind w:firstLine="708"/>
        <w:jc w:val="both"/>
        <w:rPr>
          <w:rFonts w:asciiTheme="minorHAnsi" w:hAnsiTheme="minorHAnsi" w:cstheme="minorBidi"/>
          <w:color w:val="auto"/>
          <w:sz w:val="22"/>
          <w:szCs w:val="22"/>
        </w:rPr>
      </w:pPr>
      <w:r w:rsidRPr="001B2353">
        <w:rPr>
          <w:rFonts w:asciiTheme="minorHAnsi" w:hAnsiTheme="minorHAnsi" w:cstheme="minorBidi"/>
          <w:color w:val="auto"/>
          <w:sz w:val="22"/>
          <w:szCs w:val="22"/>
        </w:rPr>
        <w:t xml:space="preserve">Wzrost zatrudnienia i podniesienie jego jakości stanowi również jeden z sześciu priorytetów Strategii Rozwoju Kraju 2007-2015, której głównym celem jest podniesienie poziomu i jakości życia mieszkańców Polski: poszczególnych obywateli i rodzin. W obszarze zatrudnienia cel ten ma być </w:t>
      </w:r>
      <w:r w:rsidRPr="001B2353">
        <w:rPr>
          <w:rFonts w:asciiTheme="minorHAnsi" w:hAnsiTheme="minorHAnsi" w:cstheme="minorBidi"/>
          <w:color w:val="auto"/>
          <w:sz w:val="22"/>
          <w:szCs w:val="22"/>
        </w:rPr>
        <w:lastRenderedPageBreak/>
        <w:t xml:space="preserve">realizowany poprzez tworzenie warunków sprzyjających przedsiębiorczości i zmniejszanie obciążeń pracodawców, upowszechnienie elastycznych form zatrudnienia oraz wzrost mobilności zasobów pracy, inicjatywy na rzecz równości szans na rynku pracy, dostosowanie oferty edukacyjnej do potrzeb rynku pracy, rozwijanie instytucji dialogu społecznego i wzmacnianie negocjacyjnego systemu stosunków między pracownikami i pracodawcami, poprawę bezpieczeństwa i warunków pracy, wzrost efektywności instytucjonalnej obsługi rynku pracy oraz prowadzenie racjonalnej polityki migracyjnej. </w:t>
      </w:r>
    </w:p>
    <w:p w:rsidR="00151C68" w:rsidRPr="001B2353" w:rsidRDefault="004A3353" w:rsidP="00357BFD">
      <w:pPr>
        <w:pStyle w:val="Default"/>
        <w:spacing w:line="360" w:lineRule="auto"/>
        <w:jc w:val="both"/>
        <w:rPr>
          <w:rFonts w:asciiTheme="minorHAnsi" w:hAnsiTheme="minorHAnsi" w:cstheme="minorBidi"/>
          <w:color w:val="auto"/>
          <w:sz w:val="22"/>
          <w:szCs w:val="22"/>
        </w:rPr>
      </w:pPr>
      <w:r w:rsidRPr="001B2353">
        <w:rPr>
          <w:rFonts w:asciiTheme="minorHAnsi" w:hAnsiTheme="minorHAnsi" w:cstheme="minorBidi"/>
          <w:color w:val="auto"/>
          <w:sz w:val="22"/>
          <w:szCs w:val="22"/>
        </w:rPr>
        <w:tab/>
      </w:r>
      <w:r w:rsidR="00151C68" w:rsidRPr="001B2353">
        <w:rPr>
          <w:rFonts w:asciiTheme="minorHAnsi" w:hAnsiTheme="minorHAnsi" w:cstheme="minorBidi"/>
          <w:color w:val="auto"/>
          <w:sz w:val="22"/>
          <w:szCs w:val="22"/>
        </w:rPr>
        <w:t>Wpisując się w strategiczne kierunki polityki rynku pracy określone w dokumentach Unii Europejskiej, jak również w dokumentach krajowych i regionalnych Dolnośląski Regionalny Plan Działań na Rzecz Zatrudnienia na 201</w:t>
      </w:r>
      <w:r w:rsidR="00C7155E" w:rsidRPr="001B2353">
        <w:rPr>
          <w:rFonts w:asciiTheme="minorHAnsi" w:hAnsiTheme="minorHAnsi" w:cstheme="minorBidi"/>
          <w:color w:val="auto"/>
          <w:sz w:val="22"/>
          <w:szCs w:val="22"/>
        </w:rPr>
        <w:t>4</w:t>
      </w:r>
      <w:r w:rsidR="00151C68" w:rsidRPr="001B2353">
        <w:rPr>
          <w:rFonts w:asciiTheme="minorHAnsi" w:hAnsiTheme="minorHAnsi" w:cstheme="minorBidi"/>
          <w:color w:val="auto"/>
          <w:sz w:val="22"/>
          <w:szCs w:val="22"/>
        </w:rPr>
        <w:t xml:space="preserve"> rok koncentruje się na tych priorytetach, których realizacja wpłynie pozytywnie na najważniejsze segmenty dolnośląskiego rynku pracy. </w:t>
      </w:r>
    </w:p>
    <w:p w:rsidR="00647532" w:rsidRPr="001B2353" w:rsidRDefault="00647532" w:rsidP="00357BFD">
      <w:pPr>
        <w:pStyle w:val="Default"/>
        <w:spacing w:line="360" w:lineRule="auto"/>
        <w:jc w:val="both"/>
        <w:rPr>
          <w:rFonts w:asciiTheme="minorHAnsi" w:hAnsiTheme="minorHAnsi" w:cstheme="minorBidi"/>
          <w:color w:val="auto"/>
          <w:sz w:val="22"/>
          <w:szCs w:val="22"/>
        </w:rPr>
      </w:pPr>
    </w:p>
    <w:p w:rsidR="00151C68" w:rsidRPr="001B2353" w:rsidRDefault="00151C68" w:rsidP="00357BFD">
      <w:pPr>
        <w:pStyle w:val="Default"/>
        <w:spacing w:line="360" w:lineRule="auto"/>
        <w:jc w:val="both"/>
        <w:rPr>
          <w:rFonts w:asciiTheme="minorHAnsi" w:hAnsiTheme="minorHAnsi" w:cstheme="minorBidi"/>
          <w:color w:val="auto"/>
          <w:sz w:val="22"/>
          <w:szCs w:val="22"/>
        </w:rPr>
      </w:pPr>
      <w:r w:rsidRPr="001B2353">
        <w:rPr>
          <w:rFonts w:asciiTheme="minorHAnsi" w:hAnsiTheme="minorHAnsi" w:cstheme="minorBidi"/>
          <w:color w:val="auto"/>
          <w:sz w:val="22"/>
          <w:szCs w:val="22"/>
        </w:rPr>
        <w:t>DRPD/Z na 201</w:t>
      </w:r>
      <w:r w:rsidR="005B69C8" w:rsidRPr="001B2353">
        <w:rPr>
          <w:rFonts w:asciiTheme="minorHAnsi" w:hAnsiTheme="minorHAnsi" w:cstheme="minorBidi"/>
          <w:color w:val="auto"/>
          <w:sz w:val="22"/>
          <w:szCs w:val="22"/>
        </w:rPr>
        <w:t>4</w:t>
      </w:r>
      <w:r w:rsidRPr="001B2353">
        <w:rPr>
          <w:rFonts w:asciiTheme="minorHAnsi" w:hAnsiTheme="minorHAnsi" w:cstheme="minorBidi"/>
          <w:color w:val="auto"/>
          <w:sz w:val="22"/>
          <w:szCs w:val="22"/>
        </w:rPr>
        <w:t xml:space="preserve"> rok składa się z czterech rozdziałów. </w:t>
      </w:r>
    </w:p>
    <w:p w:rsidR="00647532" w:rsidRPr="001B2353" w:rsidRDefault="00647532" w:rsidP="00357BFD">
      <w:pPr>
        <w:pStyle w:val="Default"/>
        <w:spacing w:line="360" w:lineRule="auto"/>
        <w:jc w:val="both"/>
        <w:rPr>
          <w:rFonts w:asciiTheme="minorHAnsi" w:hAnsiTheme="minorHAnsi" w:cstheme="minorBidi"/>
          <w:color w:val="auto"/>
          <w:sz w:val="22"/>
          <w:szCs w:val="22"/>
        </w:rPr>
      </w:pPr>
    </w:p>
    <w:p w:rsidR="00151C68" w:rsidRPr="001B2353" w:rsidRDefault="00151C68" w:rsidP="00357BFD">
      <w:pPr>
        <w:pStyle w:val="Default"/>
        <w:spacing w:line="360" w:lineRule="auto"/>
        <w:jc w:val="both"/>
        <w:rPr>
          <w:rFonts w:asciiTheme="minorHAnsi" w:hAnsiTheme="minorHAnsi"/>
          <w:color w:val="auto"/>
          <w:sz w:val="22"/>
          <w:szCs w:val="22"/>
        </w:rPr>
      </w:pPr>
      <w:r w:rsidRPr="001B2353">
        <w:rPr>
          <w:rFonts w:asciiTheme="minorHAnsi" w:hAnsiTheme="minorHAnsi"/>
          <w:b/>
          <w:bCs/>
          <w:color w:val="auto"/>
          <w:sz w:val="22"/>
          <w:szCs w:val="22"/>
        </w:rPr>
        <w:t xml:space="preserve">Rozdział 1 </w:t>
      </w:r>
      <w:r w:rsidRPr="001B2353">
        <w:rPr>
          <w:rFonts w:asciiTheme="minorHAnsi" w:hAnsiTheme="minorHAnsi"/>
          <w:color w:val="auto"/>
          <w:sz w:val="22"/>
          <w:szCs w:val="22"/>
        </w:rPr>
        <w:t>– charakteryzuj</w:t>
      </w:r>
      <w:r w:rsidR="00647532" w:rsidRPr="001B2353">
        <w:rPr>
          <w:rFonts w:asciiTheme="minorHAnsi" w:hAnsiTheme="minorHAnsi"/>
          <w:color w:val="auto"/>
          <w:sz w:val="22"/>
          <w:szCs w:val="22"/>
        </w:rPr>
        <w:t>e</w:t>
      </w:r>
      <w:r w:rsidRPr="001B2353">
        <w:rPr>
          <w:rFonts w:asciiTheme="minorHAnsi" w:hAnsiTheme="minorHAnsi"/>
          <w:color w:val="auto"/>
          <w:sz w:val="22"/>
          <w:szCs w:val="22"/>
        </w:rPr>
        <w:t xml:space="preserve"> sytuację na dolnośląskim rynku pracy oraz formułuj</w:t>
      </w:r>
      <w:r w:rsidR="00647532" w:rsidRPr="001B2353">
        <w:rPr>
          <w:rFonts w:asciiTheme="minorHAnsi" w:hAnsiTheme="minorHAnsi"/>
          <w:color w:val="auto"/>
          <w:sz w:val="22"/>
          <w:szCs w:val="22"/>
        </w:rPr>
        <w:t>e</w:t>
      </w:r>
      <w:r w:rsidRPr="001B2353">
        <w:rPr>
          <w:rFonts w:asciiTheme="minorHAnsi" w:hAnsiTheme="minorHAnsi"/>
          <w:color w:val="auto"/>
          <w:sz w:val="22"/>
          <w:szCs w:val="22"/>
        </w:rPr>
        <w:t xml:space="preserve"> syntetyczną diagnozę stanu. </w:t>
      </w:r>
    </w:p>
    <w:p w:rsidR="00151C68" w:rsidRPr="001B2353" w:rsidRDefault="00151C68" w:rsidP="00357BFD">
      <w:pPr>
        <w:pStyle w:val="Default"/>
        <w:spacing w:line="360" w:lineRule="auto"/>
        <w:jc w:val="both"/>
        <w:rPr>
          <w:rFonts w:asciiTheme="minorHAnsi" w:hAnsiTheme="minorHAnsi"/>
          <w:color w:val="auto"/>
          <w:sz w:val="22"/>
          <w:szCs w:val="22"/>
        </w:rPr>
      </w:pPr>
      <w:r w:rsidRPr="001B2353">
        <w:rPr>
          <w:rFonts w:asciiTheme="minorHAnsi" w:hAnsiTheme="minorHAnsi"/>
          <w:b/>
          <w:bCs/>
          <w:color w:val="auto"/>
          <w:sz w:val="22"/>
          <w:szCs w:val="22"/>
        </w:rPr>
        <w:t xml:space="preserve">Rozdział 2 </w:t>
      </w:r>
      <w:r w:rsidRPr="001B2353">
        <w:rPr>
          <w:rFonts w:asciiTheme="minorHAnsi" w:hAnsiTheme="minorHAnsi"/>
          <w:color w:val="auto"/>
          <w:sz w:val="22"/>
          <w:szCs w:val="22"/>
        </w:rPr>
        <w:t xml:space="preserve">– określa podstawowe cele, priorytety, działania i planowane zadania jakie będą realizowane </w:t>
      </w:r>
      <w:r w:rsidR="00033BE9" w:rsidRPr="001B2353">
        <w:rPr>
          <w:rFonts w:asciiTheme="minorHAnsi" w:hAnsiTheme="minorHAnsi"/>
          <w:color w:val="auto"/>
          <w:sz w:val="22"/>
          <w:szCs w:val="22"/>
        </w:rPr>
        <w:br/>
      </w:r>
      <w:r w:rsidRPr="001B2353">
        <w:rPr>
          <w:rFonts w:asciiTheme="minorHAnsi" w:hAnsiTheme="minorHAnsi"/>
          <w:color w:val="auto"/>
          <w:sz w:val="22"/>
          <w:szCs w:val="22"/>
        </w:rPr>
        <w:t>w 201</w:t>
      </w:r>
      <w:r w:rsidR="00FB4E54">
        <w:rPr>
          <w:rFonts w:asciiTheme="minorHAnsi" w:hAnsiTheme="minorHAnsi"/>
          <w:color w:val="auto"/>
          <w:sz w:val="22"/>
          <w:szCs w:val="22"/>
        </w:rPr>
        <w:t>4</w:t>
      </w:r>
      <w:r w:rsidRPr="001B2353">
        <w:rPr>
          <w:rFonts w:asciiTheme="minorHAnsi" w:hAnsiTheme="minorHAnsi"/>
          <w:color w:val="auto"/>
          <w:sz w:val="22"/>
          <w:szCs w:val="22"/>
        </w:rPr>
        <w:t xml:space="preserve"> roku w regionie na rzecz aktywnej polityki rynku pracy, w tym także określa najistotniejsze działania jakie będą podejmowane w obszarze rynku pracy. </w:t>
      </w:r>
    </w:p>
    <w:p w:rsidR="00151C68" w:rsidRPr="001B2353" w:rsidRDefault="00151C68" w:rsidP="00357BFD">
      <w:pPr>
        <w:pStyle w:val="Default"/>
        <w:spacing w:line="360" w:lineRule="auto"/>
        <w:jc w:val="both"/>
        <w:rPr>
          <w:rFonts w:asciiTheme="minorHAnsi" w:hAnsiTheme="minorHAnsi"/>
          <w:color w:val="auto"/>
          <w:sz w:val="22"/>
          <w:szCs w:val="22"/>
        </w:rPr>
      </w:pPr>
      <w:r w:rsidRPr="001B2353">
        <w:rPr>
          <w:rFonts w:asciiTheme="minorHAnsi" w:hAnsiTheme="minorHAnsi"/>
          <w:b/>
          <w:bCs/>
          <w:color w:val="auto"/>
          <w:sz w:val="22"/>
          <w:szCs w:val="22"/>
        </w:rPr>
        <w:t xml:space="preserve">Rozdział 3 </w:t>
      </w:r>
      <w:r w:rsidRPr="001B2353">
        <w:rPr>
          <w:rFonts w:asciiTheme="minorHAnsi" w:hAnsiTheme="minorHAnsi"/>
          <w:color w:val="auto"/>
          <w:sz w:val="22"/>
          <w:szCs w:val="22"/>
        </w:rPr>
        <w:t>– wskazuj</w:t>
      </w:r>
      <w:r w:rsidR="00647532" w:rsidRPr="001B2353">
        <w:rPr>
          <w:rFonts w:asciiTheme="minorHAnsi" w:hAnsiTheme="minorHAnsi"/>
          <w:color w:val="auto"/>
          <w:sz w:val="22"/>
          <w:szCs w:val="22"/>
        </w:rPr>
        <w:t>e</w:t>
      </w:r>
      <w:r w:rsidRPr="001B2353">
        <w:rPr>
          <w:rFonts w:asciiTheme="minorHAnsi" w:hAnsiTheme="minorHAnsi"/>
          <w:color w:val="auto"/>
          <w:sz w:val="22"/>
          <w:szCs w:val="22"/>
        </w:rPr>
        <w:t xml:space="preserve"> główne źródła finansowania zgłoszonych przez partnerów zadań oraz informuj</w:t>
      </w:r>
      <w:r w:rsidR="00647532" w:rsidRPr="001B2353">
        <w:rPr>
          <w:rFonts w:asciiTheme="minorHAnsi" w:hAnsiTheme="minorHAnsi"/>
          <w:color w:val="auto"/>
          <w:sz w:val="22"/>
          <w:szCs w:val="22"/>
        </w:rPr>
        <w:t>e</w:t>
      </w:r>
      <w:r w:rsidRPr="001B2353">
        <w:rPr>
          <w:rFonts w:asciiTheme="minorHAnsi" w:hAnsiTheme="minorHAnsi"/>
          <w:color w:val="auto"/>
          <w:sz w:val="22"/>
          <w:szCs w:val="22"/>
        </w:rPr>
        <w:t xml:space="preserve"> </w:t>
      </w:r>
      <w:r w:rsidR="00033BE9" w:rsidRPr="001B2353">
        <w:rPr>
          <w:rFonts w:asciiTheme="minorHAnsi" w:hAnsiTheme="minorHAnsi"/>
          <w:color w:val="auto"/>
          <w:sz w:val="22"/>
          <w:szCs w:val="22"/>
        </w:rPr>
        <w:br/>
      </w:r>
      <w:r w:rsidRPr="001B2353">
        <w:rPr>
          <w:rFonts w:asciiTheme="minorHAnsi" w:hAnsiTheme="minorHAnsi"/>
          <w:color w:val="auto"/>
          <w:sz w:val="22"/>
          <w:szCs w:val="22"/>
        </w:rPr>
        <w:t>o wielkości środków finansowych na aktywizację bezrobotnych w 201</w:t>
      </w:r>
      <w:r w:rsidR="00C7155E" w:rsidRPr="001B2353">
        <w:rPr>
          <w:rFonts w:asciiTheme="minorHAnsi" w:hAnsiTheme="minorHAnsi"/>
          <w:color w:val="auto"/>
          <w:sz w:val="22"/>
          <w:szCs w:val="22"/>
        </w:rPr>
        <w:t>4</w:t>
      </w:r>
      <w:r w:rsidRPr="001B2353">
        <w:rPr>
          <w:rFonts w:asciiTheme="minorHAnsi" w:hAnsiTheme="minorHAnsi"/>
          <w:color w:val="auto"/>
          <w:sz w:val="22"/>
          <w:szCs w:val="22"/>
        </w:rPr>
        <w:t xml:space="preserve"> roku. </w:t>
      </w:r>
    </w:p>
    <w:p w:rsidR="00151C68" w:rsidRPr="001B2353" w:rsidRDefault="00151C68" w:rsidP="00357BFD">
      <w:pPr>
        <w:pStyle w:val="Default"/>
        <w:spacing w:line="360" w:lineRule="auto"/>
        <w:jc w:val="both"/>
        <w:rPr>
          <w:rFonts w:asciiTheme="minorHAnsi" w:hAnsiTheme="minorHAnsi"/>
          <w:color w:val="auto"/>
          <w:sz w:val="22"/>
          <w:szCs w:val="22"/>
        </w:rPr>
      </w:pPr>
      <w:r w:rsidRPr="001B2353">
        <w:rPr>
          <w:rFonts w:asciiTheme="minorHAnsi" w:hAnsiTheme="minorHAnsi"/>
          <w:b/>
          <w:bCs/>
          <w:color w:val="auto"/>
          <w:sz w:val="22"/>
          <w:szCs w:val="22"/>
        </w:rPr>
        <w:t xml:space="preserve">Rozdział 4 </w:t>
      </w:r>
      <w:r w:rsidRPr="001B2353">
        <w:rPr>
          <w:rFonts w:asciiTheme="minorHAnsi" w:hAnsiTheme="minorHAnsi"/>
          <w:color w:val="auto"/>
          <w:sz w:val="22"/>
          <w:szCs w:val="22"/>
        </w:rPr>
        <w:t>– przedstawia sposób realizacji zgłoszonych zadań zawartych w Dolnośląskim Regionalnym Planie Działań na Rzecz Zatrudnienia na 201</w:t>
      </w:r>
      <w:r w:rsidR="005B69C8" w:rsidRPr="001B2353">
        <w:rPr>
          <w:rFonts w:asciiTheme="minorHAnsi" w:hAnsiTheme="minorHAnsi"/>
          <w:color w:val="auto"/>
          <w:sz w:val="22"/>
          <w:szCs w:val="22"/>
        </w:rPr>
        <w:t>4</w:t>
      </w:r>
      <w:r w:rsidRPr="001B2353">
        <w:rPr>
          <w:rFonts w:asciiTheme="minorHAnsi" w:hAnsiTheme="minorHAnsi"/>
          <w:color w:val="auto"/>
          <w:sz w:val="22"/>
          <w:szCs w:val="22"/>
        </w:rPr>
        <w:t xml:space="preserve"> rok. </w:t>
      </w:r>
    </w:p>
    <w:p w:rsidR="00647532" w:rsidRPr="001B2353" w:rsidRDefault="00647532" w:rsidP="00357BFD">
      <w:pPr>
        <w:pStyle w:val="Default"/>
        <w:spacing w:line="360" w:lineRule="auto"/>
        <w:jc w:val="both"/>
        <w:rPr>
          <w:rFonts w:asciiTheme="minorHAnsi" w:hAnsiTheme="minorHAnsi"/>
          <w:color w:val="auto"/>
          <w:sz w:val="22"/>
          <w:szCs w:val="22"/>
        </w:rPr>
      </w:pPr>
    </w:p>
    <w:p w:rsidR="00151C68" w:rsidRPr="001B2353" w:rsidRDefault="00151C68" w:rsidP="00357BFD">
      <w:pPr>
        <w:pStyle w:val="Default"/>
        <w:spacing w:line="360" w:lineRule="auto"/>
        <w:ind w:firstLine="708"/>
        <w:jc w:val="both"/>
        <w:rPr>
          <w:rFonts w:asciiTheme="minorHAnsi" w:hAnsiTheme="minorHAnsi"/>
          <w:color w:val="auto"/>
          <w:sz w:val="22"/>
          <w:szCs w:val="22"/>
        </w:rPr>
      </w:pPr>
      <w:r w:rsidRPr="001B2353">
        <w:rPr>
          <w:rFonts w:asciiTheme="minorHAnsi" w:hAnsiTheme="minorHAnsi"/>
          <w:color w:val="auto"/>
          <w:sz w:val="22"/>
          <w:szCs w:val="22"/>
        </w:rPr>
        <w:t xml:space="preserve">Integralną część dokumentu stanowi załącznik nr 1 zawierający zgłoszone przez instytucje </w:t>
      </w:r>
      <w:r w:rsidR="00357BFD" w:rsidRPr="001B2353">
        <w:rPr>
          <w:rFonts w:asciiTheme="minorHAnsi" w:hAnsiTheme="minorHAnsi"/>
          <w:color w:val="auto"/>
          <w:sz w:val="22"/>
          <w:szCs w:val="22"/>
        </w:rPr>
        <w:br/>
      </w:r>
      <w:r w:rsidRPr="001B2353">
        <w:rPr>
          <w:rFonts w:asciiTheme="minorHAnsi" w:hAnsiTheme="minorHAnsi"/>
          <w:color w:val="auto"/>
          <w:sz w:val="22"/>
          <w:szCs w:val="22"/>
        </w:rPr>
        <w:t xml:space="preserve">i partnerów dolnośląskiego rynku pracy zadania do realizacji na rzecz zatrudnienia. </w:t>
      </w:r>
    </w:p>
    <w:p w:rsidR="00151C68" w:rsidRPr="001B2353" w:rsidRDefault="00151C68" w:rsidP="00357BFD">
      <w:pPr>
        <w:pStyle w:val="Default"/>
        <w:spacing w:line="360" w:lineRule="auto"/>
        <w:jc w:val="both"/>
        <w:rPr>
          <w:rFonts w:asciiTheme="minorHAnsi" w:hAnsiTheme="minorHAnsi"/>
          <w:b/>
          <w:bCs/>
          <w:sz w:val="22"/>
          <w:szCs w:val="22"/>
        </w:rPr>
      </w:pPr>
    </w:p>
    <w:p w:rsidR="00647532" w:rsidRPr="001B2353" w:rsidRDefault="00647532" w:rsidP="00357BFD">
      <w:pPr>
        <w:pStyle w:val="Default"/>
        <w:spacing w:line="360" w:lineRule="auto"/>
        <w:jc w:val="both"/>
        <w:rPr>
          <w:rFonts w:asciiTheme="minorHAnsi" w:hAnsiTheme="minorHAnsi"/>
          <w:b/>
          <w:bCs/>
          <w:sz w:val="22"/>
          <w:szCs w:val="22"/>
        </w:rPr>
      </w:pPr>
    </w:p>
    <w:p w:rsidR="00647532" w:rsidRPr="001B2353" w:rsidRDefault="00647532" w:rsidP="00357BFD">
      <w:pPr>
        <w:pStyle w:val="Default"/>
        <w:spacing w:line="360" w:lineRule="auto"/>
        <w:jc w:val="both"/>
        <w:rPr>
          <w:rFonts w:asciiTheme="minorHAnsi" w:hAnsiTheme="minorHAnsi"/>
          <w:b/>
          <w:bCs/>
          <w:sz w:val="22"/>
          <w:szCs w:val="22"/>
        </w:rPr>
      </w:pPr>
    </w:p>
    <w:p w:rsidR="00357BFD" w:rsidRPr="001B2353" w:rsidRDefault="00357BFD" w:rsidP="00357BFD">
      <w:pPr>
        <w:pStyle w:val="Default"/>
        <w:spacing w:line="360" w:lineRule="auto"/>
        <w:jc w:val="both"/>
        <w:rPr>
          <w:rFonts w:asciiTheme="minorHAnsi" w:hAnsiTheme="minorHAnsi"/>
          <w:b/>
          <w:bCs/>
          <w:sz w:val="22"/>
          <w:szCs w:val="22"/>
        </w:rPr>
      </w:pPr>
    </w:p>
    <w:p w:rsidR="00357BFD" w:rsidRPr="001B2353" w:rsidRDefault="00357BFD" w:rsidP="00357BFD">
      <w:pPr>
        <w:pStyle w:val="Default"/>
        <w:spacing w:line="360" w:lineRule="auto"/>
        <w:jc w:val="both"/>
        <w:rPr>
          <w:rFonts w:asciiTheme="minorHAnsi" w:hAnsiTheme="minorHAnsi"/>
          <w:b/>
          <w:bCs/>
          <w:sz w:val="22"/>
          <w:szCs w:val="22"/>
        </w:rPr>
      </w:pPr>
    </w:p>
    <w:p w:rsidR="00357BFD" w:rsidRPr="001B2353" w:rsidRDefault="00357BFD" w:rsidP="00357BFD">
      <w:pPr>
        <w:pStyle w:val="Default"/>
        <w:spacing w:line="360" w:lineRule="auto"/>
        <w:jc w:val="both"/>
        <w:rPr>
          <w:rFonts w:asciiTheme="minorHAnsi" w:hAnsiTheme="minorHAnsi"/>
          <w:b/>
          <w:bCs/>
          <w:sz w:val="22"/>
          <w:szCs w:val="22"/>
        </w:rPr>
      </w:pPr>
    </w:p>
    <w:p w:rsidR="00357BFD" w:rsidRPr="001B2353" w:rsidRDefault="00357BFD" w:rsidP="00357BFD">
      <w:pPr>
        <w:spacing w:line="360" w:lineRule="auto"/>
        <w:jc w:val="both"/>
        <w:rPr>
          <w:rFonts w:asciiTheme="minorHAnsi" w:eastAsiaTheme="minorHAnsi" w:hAnsiTheme="minorHAnsi" w:cs="Calibri"/>
          <w:b/>
          <w:bCs/>
          <w:color w:val="000000"/>
          <w:sz w:val="22"/>
          <w:szCs w:val="22"/>
          <w:lang w:eastAsia="en-US"/>
        </w:rPr>
      </w:pPr>
      <w:r w:rsidRPr="001B2353">
        <w:rPr>
          <w:rFonts w:asciiTheme="minorHAnsi" w:hAnsiTheme="minorHAnsi"/>
          <w:b/>
          <w:bCs/>
          <w:sz w:val="22"/>
          <w:szCs w:val="22"/>
        </w:rPr>
        <w:br w:type="page"/>
      </w:r>
    </w:p>
    <w:p w:rsidR="00C064B4" w:rsidRPr="001B2353" w:rsidRDefault="00C064B4" w:rsidP="00715BC1">
      <w:pPr>
        <w:pStyle w:val="Default"/>
        <w:spacing w:line="360" w:lineRule="auto"/>
        <w:jc w:val="center"/>
        <w:rPr>
          <w:rFonts w:asciiTheme="minorHAnsi" w:hAnsiTheme="minorHAnsi"/>
          <w:sz w:val="22"/>
          <w:szCs w:val="22"/>
        </w:rPr>
      </w:pPr>
      <w:r w:rsidRPr="001B2353">
        <w:rPr>
          <w:rFonts w:asciiTheme="minorHAnsi" w:hAnsiTheme="minorHAnsi"/>
          <w:b/>
          <w:bCs/>
          <w:sz w:val="22"/>
          <w:szCs w:val="22"/>
        </w:rPr>
        <w:lastRenderedPageBreak/>
        <w:t>ROZDZIAŁ 1</w:t>
      </w:r>
    </w:p>
    <w:p w:rsidR="00C064B4" w:rsidRPr="001B2353" w:rsidRDefault="00C064B4" w:rsidP="0022301E">
      <w:pPr>
        <w:pStyle w:val="Default"/>
        <w:spacing w:line="360" w:lineRule="auto"/>
        <w:jc w:val="center"/>
        <w:rPr>
          <w:rFonts w:asciiTheme="minorHAnsi" w:hAnsiTheme="minorHAnsi"/>
          <w:sz w:val="22"/>
          <w:szCs w:val="22"/>
        </w:rPr>
      </w:pPr>
      <w:r w:rsidRPr="001B2353">
        <w:rPr>
          <w:rFonts w:asciiTheme="minorHAnsi" w:hAnsiTheme="minorHAnsi"/>
          <w:b/>
          <w:bCs/>
          <w:sz w:val="22"/>
          <w:szCs w:val="22"/>
        </w:rPr>
        <w:t>ZMIANY NA DOLNOŚLĄSKIM RYNKU PRACY W 201</w:t>
      </w:r>
      <w:r w:rsidR="005B69C8" w:rsidRPr="001B2353">
        <w:rPr>
          <w:rFonts w:asciiTheme="minorHAnsi" w:hAnsiTheme="minorHAnsi"/>
          <w:b/>
          <w:bCs/>
          <w:sz w:val="22"/>
          <w:szCs w:val="22"/>
        </w:rPr>
        <w:t>3</w:t>
      </w:r>
      <w:r w:rsidRPr="001B2353">
        <w:rPr>
          <w:rFonts w:asciiTheme="minorHAnsi" w:hAnsiTheme="minorHAnsi"/>
          <w:b/>
          <w:bCs/>
          <w:sz w:val="22"/>
          <w:szCs w:val="22"/>
        </w:rPr>
        <w:t xml:space="preserve"> ROKU</w:t>
      </w:r>
    </w:p>
    <w:p w:rsidR="00C064B4" w:rsidRPr="001B2353" w:rsidRDefault="00C064B4" w:rsidP="00357BFD">
      <w:pPr>
        <w:pStyle w:val="Default"/>
        <w:spacing w:line="360" w:lineRule="auto"/>
        <w:ind w:firstLine="708"/>
        <w:jc w:val="both"/>
        <w:rPr>
          <w:rFonts w:asciiTheme="minorHAnsi" w:hAnsiTheme="minorHAnsi"/>
          <w:sz w:val="22"/>
          <w:szCs w:val="22"/>
        </w:rPr>
      </w:pPr>
    </w:p>
    <w:p w:rsidR="00F577DA" w:rsidRPr="001B2353" w:rsidRDefault="00F577DA" w:rsidP="00F577DA">
      <w:pPr>
        <w:spacing w:line="360" w:lineRule="auto"/>
        <w:ind w:firstLine="360"/>
        <w:jc w:val="both"/>
        <w:rPr>
          <w:rFonts w:asciiTheme="minorHAnsi" w:hAnsiTheme="minorHAnsi" w:cs="Arial"/>
          <w:sz w:val="22"/>
          <w:szCs w:val="22"/>
        </w:rPr>
      </w:pPr>
      <w:r w:rsidRPr="001B2353">
        <w:rPr>
          <w:rFonts w:asciiTheme="minorHAnsi" w:hAnsiTheme="minorHAnsi" w:cs="Arial"/>
          <w:sz w:val="22"/>
          <w:szCs w:val="22"/>
        </w:rPr>
        <w:t xml:space="preserve">W okresie dwunastu miesięcy 2013 roku liczba zarejestrowanych bezrobotnych zmniejszyła się o 3811 osób w porównaniu do stanu na koniec grudnia 2012 r., natomiast w takim samym okresie w roku 2012 zanotowano wzrost o 13794 osoby.  </w:t>
      </w:r>
    </w:p>
    <w:p w:rsidR="00F577DA" w:rsidRPr="001B2353" w:rsidRDefault="00F577DA" w:rsidP="00F577DA">
      <w:pPr>
        <w:spacing w:line="360" w:lineRule="auto"/>
        <w:ind w:firstLine="360"/>
        <w:jc w:val="both"/>
        <w:rPr>
          <w:rFonts w:asciiTheme="minorHAnsi" w:hAnsiTheme="minorHAnsi" w:cs="Arial"/>
          <w:sz w:val="22"/>
          <w:szCs w:val="22"/>
        </w:rPr>
      </w:pPr>
      <w:r w:rsidRPr="001B2353">
        <w:rPr>
          <w:rFonts w:asciiTheme="minorHAnsi" w:hAnsiTheme="minorHAnsi" w:cs="Arial"/>
          <w:sz w:val="22"/>
          <w:szCs w:val="22"/>
        </w:rPr>
        <w:t xml:space="preserve">Napływ bezrobotnych w okresie dwunastu miesięcy 2013 r. był mniejszy o 3944 osoby niż w analogicznym okresie roku ubiegłego i wynosił 214312 osób (w okresie styczeń – grudzień 2012 odnotowano napływ 218256 osób). Jednocześnie odpływ w okresie od stycznia do grudnia 2013 roku w wysokości 218123 osoby był o 13661 osób większy niż w analogicznym okresie roku ubiegłego. </w:t>
      </w:r>
    </w:p>
    <w:p w:rsidR="00F577DA" w:rsidRPr="001B2353" w:rsidRDefault="00F577DA" w:rsidP="00F577DA">
      <w:pPr>
        <w:spacing w:line="360" w:lineRule="auto"/>
        <w:ind w:firstLine="360"/>
        <w:jc w:val="both"/>
        <w:rPr>
          <w:rFonts w:asciiTheme="minorHAnsi" w:hAnsiTheme="minorHAnsi" w:cs="Arial"/>
          <w:sz w:val="22"/>
          <w:szCs w:val="22"/>
        </w:rPr>
      </w:pPr>
      <w:r w:rsidRPr="001B2353">
        <w:rPr>
          <w:rFonts w:asciiTheme="minorHAnsi" w:hAnsiTheme="minorHAnsi" w:cs="Arial"/>
          <w:sz w:val="22"/>
          <w:szCs w:val="22"/>
        </w:rPr>
        <w:t>Wzrost, spadek [-] liczby bezrobotnych w województwie dolnośląskim w okresie styczeń – grudzień w latach 1999 – 2013 ilustruje poniższy wykres:</w:t>
      </w:r>
    </w:p>
    <w:p w:rsidR="00F577DA" w:rsidRPr="001B2353" w:rsidRDefault="00F577DA" w:rsidP="00F577DA">
      <w:pPr>
        <w:spacing w:line="360" w:lineRule="auto"/>
        <w:ind w:firstLine="360"/>
        <w:jc w:val="both"/>
        <w:rPr>
          <w:rFonts w:asciiTheme="minorHAnsi" w:hAnsiTheme="minorHAnsi" w:cs="Arial"/>
          <w:sz w:val="22"/>
          <w:szCs w:val="22"/>
        </w:rPr>
      </w:pPr>
      <w:r w:rsidRPr="001B2353">
        <w:rPr>
          <w:rFonts w:asciiTheme="minorHAnsi" w:hAnsiTheme="minorHAnsi"/>
          <w:noProof/>
          <w:sz w:val="22"/>
          <w:szCs w:val="22"/>
        </w:rPr>
        <w:drawing>
          <wp:inline distT="0" distB="0" distL="0" distR="0" wp14:anchorId="3980215D" wp14:editId="038CD17E">
            <wp:extent cx="5743575" cy="3629025"/>
            <wp:effectExtent l="0" t="0" r="0" b="0"/>
            <wp:docPr id="5" name="Wykres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DE0670" w:rsidRPr="001B2353" w:rsidRDefault="00DE0670" w:rsidP="00F577DA">
      <w:pPr>
        <w:spacing w:line="360" w:lineRule="auto"/>
        <w:ind w:firstLine="360"/>
        <w:jc w:val="both"/>
        <w:rPr>
          <w:rFonts w:asciiTheme="minorHAnsi" w:hAnsiTheme="minorHAnsi" w:cs="Arial"/>
          <w:sz w:val="22"/>
          <w:szCs w:val="22"/>
        </w:rPr>
      </w:pPr>
      <w:r w:rsidRPr="001B2353">
        <w:rPr>
          <w:rFonts w:asciiTheme="minorHAnsi" w:hAnsiTheme="minorHAnsi" w:cs="Arial"/>
          <w:sz w:val="22"/>
          <w:szCs w:val="22"/>
        </w:rPr>
        <w:t xml:space="preserve"> </w:t>
      </w:r>
    </w:p>
    <w:p w:rsidR="00F577DA" w:rsidRPr="001B2353" w:rsidRDefault="00DE0670" w:rsidP="00F577DA">
      <w:pPr>
        <w:spacing w:line="360" w:lineRule="auto"/>
        <w:ind w:firstLine="360"/>
        <w:jc w:val="both"/>
        <w:rPr>
          <w:rFonts w:asciiTheme="minorHAnsi" w:hAnsiTheme="minorHAnsi" w:cs="Arial"/>
          <w:sz w:val="22"/>
          <w:szCs w:val="22"/>
        </w:rPr>
      </w:pPr>
      <w:r w:rsidRPr="001B2353">
        <w:rPr>
          <w:rFonts w:asciiTheme="minorHAnsi" w:hAnsiTheme="minorHAnsi" w:cs="Arial"/>
          <w:sz w:val="22"/>
          <w:szCs w:val="22"/>
        </w:rPr>
        <w:t>Jak wynika z „Komunikatu o sytuacji społeczno-gospodarczej województwa dolnośląskiego w grudniu 201</w:t>
      </w:r>
      <w:r w:rsidR="00F577DA" w:rsidRPr="001B2353">
        <w:rPr>
          <w:rFonts w:asciiTheme="minorHAnsi" w:hAnsiTheme="minorHAnsi" w:cs="Arial"/>
          <w:sz w:val="22"/>
          <w:szCs w:val="22"/>
        </w:rPr>
        <w:t>3</w:t>
      </w:r>
      <w:r w:rsidRPr="001B2353">
        <w:rPr>
          <w:rFonts w:asciiTheme="minorHAnsi" w:hAnsiTheme="minorHAnsi" w:cs="Arial"/>
          <w:sz w:val="22"/>
          <w:szCs w:val="22"/>
        </w:rPr>
        <w:t xml:space="preserve"> r.” </w:t>
      </w:r>
      <w:r w:rsidR="00F577DA" w:rsidRPr="001B2353">
        <w:rPr>
          <w:rFonts w:asciiTheme="minorHAnsi" w:hAnsiTheme="minorHAnsi" w:cs="Arial"/>
          <w:sz w:val="22"/>
          <w:szCs w:val="22"/>
        </w:rPr>
        <w:t xml:space="preserve">przeciętne zatrudnienie w sektorze przedsiębiorstw w grudniu 2013 r. ukształtowało się na poziomie 443,6 tys. osób, tj. wyższym niż przed rokiem o 4,0% (wobec spadku o 1,2% w grudniu 2012 r.). Wzrost przeciętnego zatrudnienia odnotowano w 10 sekcjach, w tym największy w administrowaniu </w:t>
      </w:r>
      <w:r w:rsidR="00783BF5" w:rsidRPr="001B2353">
        <w:rPr>
          <w:rFonts w:asciiTheme="minorHAnsi" w:hAnsiTheme="minorHAnsi" w:cs="Arial"/>
          <w:sz w:val="22"/>
          <w:szCs w:val="22"/>
        </w:rPr>
        <w:br/>
      </w:r>
      <w:r w:rsidR="00F577DA" w:rsidRPr="001B2353">
        <w:rPr>
          <w:rFonts w:asciiTheme="minorHAnsi" w:hAnsiTheme="minorHAnsi" w:cs="Arial"/>
          <w:sz w:val="22"/>
          <w:szCs w:val="22"/>
        </w:rPr>
        <w:t xml:space="preserve">i działalności wspierającej (o 22,2%) oraz w informacji i komunikacji (o 18,0%). W 4 sekcjach zatrudnienie zmniejszyło się, w tym najbardziej w wytwarzaniu i zaopatrywaniu w energię elektryczną, gaz, parę wodną </w:t>
      </w:r>
      <w:r w:rsidR="00783BF5" w:rsidRPr="001B2353">
        <w:rPr>
          <w:rFonts w:asciiTheme="minorHAnsi" w:hAnsiTheme="minorHAnsi" w:cs="Arial"/>
          <w:sz w:val="22"/>
          <w:szCs w:val="22"/>
        </w:rPr>
        <w:br/>
      </w:r>
      <w:r w:rsidR="00F577DA" w:rsidRPr="001B2353">
        <w:rPr>
          <w:rFonts w:asciiTheme="minorHAnsi" w:hAnsiTheme="minorHAnsi" w:cs="Arial"/>
          <w:sz w:val="22"/>
          <w:szCs w:val="22"/>
        </w:rPr>
        <w:t xml:space="preserve">i gorącą wodę (o 30,0%) oraz w budownictwie (o 6,4%). </w:t>
      </w:r>
    </w:p>
    <w:p w:rsidR="00F577DA" w:rsidRPr="001B2353" w:rsidRDefault="00F577DA" w:rsidP="00F577DA">
      <w:pPr>
        <w:spacing w:line="360" w:lineRule="auto"/>
        <w:ind w:firstLine="360"/>
        <w:jc w:val="both"/>
        <w:rPr>
          <w:rFonts w:asciiTheme="minorHAnsi" w:hAnsiTheme="minorHAnsi" w:cs="Arial"/>
          <w:sz w:val="22"/>
          <w:szCs w:val="22"/>
        </w:rPr>
      </w:pPr>
      <w:r w:rsidRPr="001B2353">
        <w:rPr>
          <w:rFonts w:asciiTheme="minorHAnsi" w:hAnsiTheme="minorHAnsi" w:cs="Arial"/>
          <w:sz w:val="22"/>
          <w:szCs w:val="22"/>
        </w:rPr>
        <w:t xml:space="preserve">W kraju przeciętne zatrudnienie w sektorze przedsiębiorstw zwiększyło się w skali roku o 0,3%. </w:t>
      </w:r>
      <w:r w:rsidRPr="001B2353">
        <w:rPr>
          <w:rFonts w:asciiTheme="minorHAnsi" w:hAnsiTheme="minorHAnsi" w:cs="Arial"/>
          <w:sz w:val="22"/>
          <w:szCs w:val="22"/>
        </w:rPr>
        <w:cr/>
      </w:r>
    </w:p>
    <w:p w:rsidR="00D12284" w:rsidRDefault="00D12284" w:rsidP="00E02335">
      <w:pPr>
        <w:spacing w:line="360" w:lineRule="auto"/>
        <w:jc w:val="both"/>
        <w:rPr>
          <w:rFonts w:asciiTheme="minorHAnsi" w:hAnsiTheme="minorHAnsi" w:cs="Arial"/>
          <w:sz w:val="22"/>
          <w:szCs w:val="22"/>
        </w:rPr>
      </w:pPr>
      <w:r>
        <w:rPr>
          <w:rFonts w:asciiTheme="minorHAnsi" w:hAnsiTheme="minorHAnsi" w:cs="Arial"/>
          <w:sz w:val="22"/>
          <w:szCs w:val="22"/>
        </w:rPr>
        <w:lastRenderedPageBreak/>
        <w:t>Liczbę osób bezrobotnych na koniec 2013 roku w poszczególnych powiatach województwa dolnośląskiego przedstawia poniższa mapka:</w:t>
      </w:r>
    </w:p>
    <w:p w:rsidR="00D12284" w:rsidRDefault="00577DDE" w:rsidP="00E02335">
      <w:pPr>
        <w:spacing w:line="360" w:lineRule="auto"/>
        <w:jc w:val="both"/>
        <w:rPr>
          <w:rFonts w:asciiTheme="minorHAnsi" w:hAnsiTheme="minorHAnsi" w:cs="Arial"/>
          <w:sz w:val="22"/>
          <w:szCs w:val="22"/>
        </w:rPr>
      </w:pPr>
      <w:r>
        <w:rPr>
          <w:noProof/>
        </w:rPr>
        <w:drawing>
          <wp:inline distT="0" distB="0" distL="0" distR="0" wp14:anchorId="3E266DEA" wp14:editId="0343074C">
            <wp:extent cx="5976257" cy="5617029"/>
            <wp:effectExtent l="0" t="0" r="5715" b="317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972810" cy="5613789"/>
                    </a:xfrm>
                    <a:prstGeom prst="rect">
                      <a:avLst/>
                    </a:prstGeom>
                  </pic:spPr>
                </pic:pic>
              </a:graphicData>
            </a:graphic>
          </wp:inline>
        </w:drawing>
      </w:r>
    </w:p>
    <w:p w:rsidR="00357BFD" w:rsidRPr="001B2353" w:rsidRDefault="00BE4321" w:rsidP="00E02335">
      <w:pPr>
        <w:spacing w:line="360" w:lineRule="auto"/>
        <w:jc w:val="both"/>
        <w:rPr>
          <w:rFonts w:asciiTheme="minorHAnsi" w:hAnsiTheme="minorHAnsi" w:cs="Arial"/>
          <w:sz w:val="22"/>
          <w:szCs w:val="22"/>
        </w:rPr>
      </w:pPr>
      <w:r w:rsidRPr="001B2353">
        <w:rPr>
          <w:rFonts w:asciiTheme="minorHAnsi" w:hAnsiTheme="minorHAnsi" w:cs="Arial"/>
          <w:sz w:val="22"/>
          <w:szCs w:val="22"/>
        </w:rPr>
        <w:t>W  201</w:t>
      </w:r>
      <w:r w:rsidR="00A05D8C" w:rsidRPr="001B2353">
        <w:rPr>
          <w:rFonts w:asciiTheme="minorHAnsi" w:hAnsiTheme="minorHAnsi" w:cs="Arial"/>
          <w:sz w:val="22"/>
          <w:szCs w:val="22"/>
        </w:rPr>
        <w:t>3</w:t>
      </w:r>
      <w:r w:rsidRPr="001B2353">
        <w:rPr>
          <w:rFonts w:asciiTheme="minorHAnsi" w:hAnsiTheme="minorHAnsi" w:cs="Arial"/>
          <w:sz w:val="22"/>
          <w:szCs w:val="22"/>
        </w:rPr>
        <w:t xml:space="preserve"> roku, zanotowano następujące zmiany w strukturze bezrobotnych: </w:t>
      </w:r>
    </w:p>
    <w:p w:rsidR="00783BF5" w:rsidRPr="001B2353" w:rsidRDefault="00783BF5" w:rsidP="00783BF5">
      <w:pPr>
        <w:numPr>
          <w:ilvl w:val="0"/>
          <w:numId w:val="46"/>
        </w:numPr>
        <w:spacing w:line="360" w:lineRule="auto"/>
        <w:jc w:val="both"/>
        <w:rPr>
          <w:rFonts w:asciiTheme="minorHAnsi" w:hAnsiTheme="minorHAnsi" w:cs="Arial"/>
          <w:iCs/>
          <w:sz w:val="22"/>
          <w:szCs w:val="22"/>
        </w:rPr>
      </w:pPr>
      <w:r w:rsidRPr="001B2353">
        <w:rPr>
          <w:rFonts w:asciiTheme="minorHAnsi" w:hAnsiTheme="minorHAnsi" w:cs="Arial"/>
          <w:sz w:val="22"/>
          <w:szCs w:val="22"/>
        </w:rPr>
        <w:t>Liczba zarejestrowanych bezrobotnych zmniejszyła się o 3811</w:t>
      </w:r>
      <w:r w:rsidRPr="001B2353">
        <w:rPr>
          <w:rFonts w:asciiTheme="minorHAnsi" w:hAnsiTheme="minorHAnsi" w:cs="Arial"/>
          <w:iCs/>
          <w:sz w:val="22"/>
          <w:szCs w:val="22"/>
        </w:rPr>
        <w:t xml:space="preserve"> osób (o 2,4%) w porównaniu do stanu na koniec grudnia 2012 r. W analogicznym okresie 2012 r. </w:t>
      </w:r>
      <w:r w:rsidRPr="001B2353">
        <w:rPr>
          <w:rFonts w:asciiTheme="minorHAnsi" w:hAnsiTheme="minorHAnsi" w:cs="Arial"/>
          <w:sz w:val="22"/>
          <w:szCs w:val="22"/>
        </w:rPr>
        <w:t>liczba</w:t>
      </w:r>
      <w:r w:rsidRPr="001B2353">
        <w:rPr>
          <w:rFonts w:asciiTheme="minorHAnsi" w:hAnsiTheme="minorHAnsi" w:cs="Arial"/>
          <w:iCs/>
          <w:sz w:val="22"/>
          <w:szCs w:val="22"/>
        </w:rPr>
        <w:t xml:space="preserve"> bezrobotnych ogółem wzrosła o 13794 osoby, tj. o 9,6% w porównaniu do stanu na koniec grudnia 2011 r.</w:t>
      </w:r>
    </w:p>
    <w:p w:rsidR="00783BF5" w:rsidRPr="001B2353" w:rsidRDefault="00E02335" w:rsidP="001B2353">
      <w:pPr>
        <w:numPr>
          <w:ilvl w:val="0"/>
          <w:numId w:val="24"/>
        </w:numPr>
        <w:spacing w:line="360" w:lineRule="auto"/>
        <w:jc w:val="both"/>
        <w:rPr>
          <w:rFonts w:asciiTheme="minorHAnsi" w:hAnsiTheme="minorHAnsi" w:cs="Arial"/>
          <w:iCs/>
          <w:sz w:val="22"/>
          <w:szCs w:val="22"/>
        </w:rPr>
      </w:pPr>
      <w:r w:rsidRPr="001B2353">
        <w:rPr>
          <w:rFonts w:asciiTheme="minorHAnsi" w:hAnsiTheme="minorHAnsi" w:cs="Arial"/>
          <w:sz w:val="22"/>
          <w:szCs w:val="22"/>
        </w:rPr>
        <w:t>W</w:t>
      </w:r>
      <w:r w:rsidR="00783BF5" w:rsidRPr="001B2353">
        <w:rPr>
          <w:rFonts w:asciiTheme="minorHAnsi" w:hAnsiTheme="minorHAnsi" w:cs="Arial"/>
          <w:sz w:val="22"/>
          <w:szCs w:val="22"/>
        </w:rPr>
        <w:t xml:space="preserve"> 19 powiatach odnotowano spadek liczby zarejestrowanych bezrobotnych. </w:t>
      </w:r>
    </w:p>
    <w:p w:rsidR="00783BF5" w:rsidRPr="001B2353" w:rsidRDefault="00783BF5" w:rsidP="001B2353">
      <w:pPr>
        <w:numPr>
          <w:ilvl w:val="0"/>
          <w:numId w:val="24"/>
        </w:numPr>
        <w:spacing w:line="360" w:lineRule="auto"/>
        <w:jc w:val="both"/>
        <w:rPr>
          <w:rFonts w:asciiTheme="minorHAnsi" w:hAnsiTheme="minorHAnsi" w:cs="Arial"/>
          <w:iCs/>
          <w:sz w:val="22"/>
          <w:szCs w:val="22"/>
        </w:rPr>
      </w:pPr>
      <w:r w:rsidRPr="001B2353">
        <w:rPr>
          <w:rFonts w:asciiTheme="minorHAnsi" w:hAnsiTheme="minorHAnsi" w:cs="Arial"/>
          <w:sz w:val="22"/>
          <w:szCs w:val="22"/>
        </w:rPr>
        <w:t xml:space="preserve">Wzrost w porównaniu do stanu na koniec roku 2012 r. wystąpił w jedenastu powiatach, w tym największy (powyżej 100 osób) w następujących powiatach: </w:t>
      </w:r>
    </w:p>
    <w:tbl>
      <w:tblPr>
        <w:tblW w:w="9030" w:type="dxa"/>
        <w:jc w:val="right"/>
        <w:tblCellMar>
          <w:left w:w="70" w:type="dxa"/>
          <w:right w:w="70" w:type="dxa"/>
        </w:tblCellMar>
        <w:tblLook w:val="04A0" w:firstRow="1" w:lastRow="0" w:firstColumn="1" w:lastColumn="0" w:noHBand="0" w:noVBand="1"/>
      </w:tblPr>
      <w:tblGrid>
        <w:gridCol w:w="404"/>
        <w:gridCol w:w="2320"/>
        <w:gridCol w:w="1985"/>
        <w:gridCol w:w="1984"/>
        <w:gridCol w:w="2337"/>
      </w:tblGrid>
      <w:tr w:rsidR="00E02335" w:rsidRPr="001B2353" w:rsidTr="00E02335">
        <w:trPr>
          <w:trHeight w:val="203"/>
          <w:jc w:val="right"/>
        </w:trPr>
        <w:tc>
          <w:tcPr>
            <w:tcW w:w="40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83BF5" w:rsidRPr="001B2353" w:rsidRDefault="00783BF5" w:rsidP="00E02335">
            <w:pPr>
              <w:jc w:val="center"/>
              <w:rPr>
                <w:rFonts w:asciiTheme="minorHAnsi" w:hAnsiTheme="minorHAnsi" w:cs="Arial"/>
                <w:color w:val="000000"/>
                <w:sz w:val="22"/>
                <w:szCs w:val="22"/>
              </w:rPr>
            </w:pPr>
            <w:r w:rsidRPr="001B2353">
              <w:rPr>
                <w:rFonts w:asciiTheme="minorHAnsi" w:hAnsiTheme="minorHAnsi" w:cs="Arial"/>
                <w:color w:val="000000"/>
                <w:sz w:val="22"/>
                <w:szCs w:val="22"/>
              </w:rPr>
              <w:t>Lp.</w:t>
            </w:r>
          </w:p>
        </w:tc>
        <w:tc>
          <w:tcPr>
            <w:tcW w:w="2320" w:type="dxa"/>
            <w:tcBorders>
              <w:top w:val="single" w:sz="4" w:space="0" w:color="auto"/>
              <w:left w:val="nil"/>
              <w:bottom w:val="single" w:sz="4" w:space="0" w:color="auto"/>
              <w:right w:val="single" w:sz="4" w:space="0" w:color="auto"/>
            </w:tcBorders>
            <w:shd w:val="clear" w:color="auto" w:fill="auto"/>
            <w:vAlign w:val="center"/>
            <w:hideMark/>
          </w:tcPr>
          <w:p w:rsidR="00783BF5" w:rsidRPr="001B2353" w:rsidRDefault="00783BF5" w:rsidP="00E02335">
            <w:pPr>
              <w:jc w:val="center"/>
              <w:rPr>
                <w:rFonts w:asciiTheme="minorHAnsi" w:hAnsiTheme="minorHAnsi" w:cs="Arial"/>
                <w:color w:val="000000"/>
                <w:sz w:val="22"/>
                <w:szCs w:val="22"/>
              </w:rPr>
            </w:pPr>
            <w:r w:rsidRPr="001B2353">
              <w:rPr>
                <w:rFonts w:asciiTheme="minorHAnsi" w:hAnsiTheme="minorHAnsi" w:cs="Arial"/>
                <w:color w:val="000000"/>
                <w:sz w:val="22"/>
                <w:szCs w:val="22"/>
              </w:rPr>
              <w:t>Nazwa powiatu</w:t>
            </w:r>
          </w:p>
        </w:tc>
        <w:tc>
          <w:tcPr>
            <w:tcW w:w="1985" w:type="dxa"/>
            <w:tcBorders>
              <w:top w:val="single" w:sz="4" w:space="0" w:color="auto"/>
              <w:left w:val="nil"/>
              <w:bottom w:val="single" w:sz="4" w:space="0" w:color="auto"/>
              <w:right w:val="single" w:sz="4" w:space="0" w:color="auto"/>
            </w:tcBorders>
            <w:shd w:val="clear" w:color="auto" w:fill="auto"/>
            <w:vAlign w:val="center"/>
            <w:hideMark/>
          </w:tcPr>
          <w:p w:rsidR="00783BF5" w:rsidRPr="001B2353" w:rsidRDefault="00783BF5" w:rsidP="00E02335">
            <w:pPr>
              <w:jc w:val="center"/>
              <w:rPr>
                <w:rFonts w:asciiTheme="minorHAnsi" w:hAnsiTheme="minorHAnsi" w:cs="Arial"/>
                <w:color w:val="000000"/>
                <w:sz w:val="22"/>
                <w:szCs w:val="22"/>
              </w:rPr>
            </w:pPr>
            <w:r w:rsidRPr="001B2353">
              <w:rPr>
                <w:rFonts w:asciiTheme="minorHAnsi" w:hAnsiTheme="minorHAnsi" w:cs="Arial"/>
                <w:color w:val="000000"/>
                <w:sz w:val="22"/>
                <w:szCs w:val="22"/>
              </w:rPr>
              <w:t>Stan na 31.</w:t>
            </w:r>
            <w:r w:rsidR="00E02335" w:rsidRPr="001B2353">
              <w:rPr>
                <w:rFonts w:asciiTheme="minorHAnsi" w:hAnsiTheme="minorHAnsi" w:cs="Arial"/>
                <w:color w:val="000000"/>
                <w:sz w:val="22"/>
                <w:szCs w:val="22"/>
              </w:rPr>
              <w:t>12</w:t>
            </w:r>
            <w:r w:rsidRPr="001B2353">
              <w:rPr>
                <w:rFonts w:asciiTheme="minorHAnsi" w:hAnsiTheme="minorHAnsi" w:cs="Arial"/>
                <w:color w:val="000000"/>
                <w:sz w:val="22"/>
                <w:szCs w:val="22"/>
              </w:rPr>
              <w:t>.2013</w:t>
            </w:r>
          </w:p>
        </w:tc>
        <w:tc>
          <w:tcPr>
            <w:tcW w:w="1984" w:type="dxa"/>
            <w:tcBorders>
              <w:top w:val="single" w:sz="4" w:space="0" w:color="auto"/>
              <w:left w:val="nil"/>
              <w:bottom w:val="single" w:sz="4" w:space="0" w:color="auto"/>
              <w:right w:val="single" w:sz="4" w:space="0" w:color="auto"/>
            </w:tcBorders>
            <w:shd w:val="clear" w:color="auto" w:fill="auto"/>
            <w:vAlign w:val="center"/>
            <w:hideMark/>
          </w:tcPr>
          <w:p w:rsidR="00783BF5" w:rsidRPr="001B2353" w:rsidRDefault="00783BF5" w:rsidP="00E02335">
            <w:pPr>
              <w:jc w:val="center"/>
              <w:rPr>
                <w:rFonts w:asciiTheme="minorHAnsi" w:hAnsiTheme="minorHAnsi" w:cs="Arial"/>
                <w:color w:val="000000"/>
                <w:sz w:val="22"/>
                <w:szCs w:val="22"/>
              </w:rPr>
            </w:pPr>
            <w:r w:rsidRPr="001B2353">
              <w:rPr>
                <w:rFonts w:asciiTheme="minorHAnsi" w:hAnsiTheme="minorHAnsi" w:cs="Arial"/>
                <w:color w:val="000000"/>
                <w:sz w:val="22"/>
                <w:szCs w:val="22"/>
              </w:rPr>
              <w:t>Stan na 31.</w:t>
            </w:r>
            <w:r w:rsidR="00E02335" w:rsidRPr="001B2353">
              <w:rPr>
                <w:rFonts w:asciiTheme="minorHAnsi" w:hAnsiTheme="minorHAnsi" w:cs="Arial"/>
                <w:color w:val="000000"/>
                <w:sz w:val="22"/>
                <w:szCs w:val="22"/>
              </w:rPr>
              <w:t>12.2012</w:t>
            </w:r>
          </w:p>
        </w:tc>
        <w:tc>
          <w:tcPr>
            <w:tcW w:w="2337" w:type="dxa"/>
            <w:tcBorders>
              <w:top w:val="single" w:sz="4" w:space="0" w:color="auto"/>
              <w:left w:val="nil"/>
              <w:bottom w:val="single" w:sz="4" w:space="0" w:color="auto"/>
              <w:right w:val="single" w:sz="4" w:space="0" w:color="auto"/>
            </w:tcBorders>
            <w:shd w:val="clear" w:color="auto" w:fill="auto"/>
            <w:vAlign w:val="center"/>
            <w:hideMark/>
          </w:tcPr>
          <w:p w:rsidR="00783BF5" w:rsidRPr="001B2353" w:rsidRDefault="00783BF5" w:rsidP="00E02335">
            <w:pPr>
              <w:jc w:val="center"/>
              <w:rPr>
                <w:rFonts w:asciiTheme="minorHAnsi" w:hAnsiTheme="minorHAnsi" w:cs="Arial"/>
                <w:color w:val="000000"/>
                <w:sz w:val="22"/>
                <w:szCs w:val="22"/>
              </w:rPr>
            </w:pPr>
            <w:r w:rsidRPr="001B2353">
              <w:rPr>
                <w:rFonts w:asciiTheme="minorHAnsi" w:hAnsiTheme="minorHAnsi" w:cs="Arial"/>
                <w:color w:val="000000"/>
                <w:sz w:val="22"/>
                <w:szCs w:val="22"/>
              </w:rPr>
              <w:t xml:space="preserve">Wzrost, spadek (-) liczby bezrobotnych </w:t>
            </w:r>
          </w:p>
        </w:tc>
      </w:tr>
      <w:tr w:rsidR="00E02335" w:rsidRPr="001B2353" w:rsidTr="00E02335">
        <w:trPr>
          <w:trHeight w:val="203"/>
          <w:jc w:val="right"/>
        </w:trPr>
        <w:tc>
          <w:tcPr>
            <w:tcW w:w="404" w:type="dxa"/>
            <w:tcBorders>
              <w:top w:val="nil"/>
              <w:left w:val="single" w:sz="4" w:space="0" w:color="auto"/>
              <w:bottom w:val="single" w:sz="4" w:space="0" w:color="auto"/>
              <w:right w:val="single" w:sz="4" w:space="0" w:color="auto"/>
            </w:tcBorders>
            <w:shd w:val="clear" w:color="auto" w:fill="auto"/>
            <w:vAlign w:val="bottom"/>
            <w:hideMark/>
          </w:tcPr>
          <w:p w:rsidR="00783BF5" w:rsidRPr="001B2353" w:rsidRDefault="00783BF5" w:rsidP="00E02335">
            <w:pPr>
              <w:jc w:val="center"/>
              <w:rPr>
                <w:rFonts w:asciiTheme="minorHAnsi" w:hAnsiTheme="minorHAnsi" w:cs="Arial"/>
                <w:color w:val="000000"/>
                <w:sz w:val="22"/>
                <w:szCs w:val="22"/>
              </w:rPr>
            </w:pPr>
            <w:r w:rsidRPr="001B2353">
              <w:rPr>
                <w:rFonts w:asciiTheme="minorHAnsi" w:hAnsiTheme="minorHAnsi" w:cs="Arial"/>
                <w:color w:val="000000"/>
                <w:sz w:val="22"/>
                <w:szCs w:val="22"/>
              </w:rPr>
              <w:t>1</w:t>
            </w:r>
          </w:p>
        </w:tc>
        <w:tc>
          <w:tcPr>
            <w:tcW w:w="2320" w:type="dxa"/>
            <w:tcBorders>
              <w:top w:val="nil"/>
              <w:left w:val="nil"/>
              <w:bottom w:val="single" w:sz="4" w:space="0" w:color="auto"/>
              <w:right w:val="single" w:sz="4" w:space="0" w:color="auto"/>
            </w:tcBorders>
            <w:shd w:val="clear" w:color="auto" w:fill="auto"/>
            <w:noWrap/>
            <w:vAlign w:val="bottom"/>
            <w:hideMark/>
          </w:tcPr>
          <w:p w:rsidR="00783BF5" w:rsidRPr="001B2353" w:rsidRDefault="00783BF5" w:rsidP="00E02335">
            <w:pPr>
              <w:jc w:val="center"/>
              <w:rPr>
                <w:rFonts w:asciiTheme="minorHAnsi" w:hAnsiTheme="minorHAnsi" w:cs="Arial"/>
                <w:sz w:val="22"/>
                <w:szCs w:val="22"/>
              </w:rPr>
            </w:pPr>
            <w:r w:rsidRPr="001B2353">
              <w:rPr>
                <w:rFonts w:asciiTheme="minorHAnsi" w:hAnsiTheme="minorHAnsi" w:cs="Arial"/>
                <w:sz w:val="22"/>
                <w:szCs w:val="22"/>
              </w:rPr>
              <w:t>oławski</w:t>
            </w:r>
          </w:p>
        </w:tc>
        <w:tc>
          <w:tcPr>
            <w:tcW w:w="1985" w:type="dxa"/>
            <w:tcBorders>
              <w:top w:val="nil"/>
              <w:left w:val="nil"/>
              <w:bottom w:val="single" w:sz="4" w:space="0" w:color="auto"/>
              <w:right w:val="single" w:sz="4" w:space="0" w:color="auto"/>
            </w:tcBorders>
            <w:shd w:val="clear" w:color="auto" w:fill="auto"/>
            <w:noWrap/>
            <w:vAlign w:val="bottom"/>
            <w:hideMark/>
          </w:tcPr>
          <w:p w:rsidR="00783BF5" w:rsidRPr="001B2353" w:rsidRDefault="00783BF5" w:rsidP="00E02335">
            <w:pPr>
              <w:jc w:val="center"/>
              <w:rPr>
                <w:rFonts w:asciiTheme="minorHAnsi" w:hAnsiTheme="minorHAnsi" w:cs="Arial"/>
                <w:sz w:val="22"/>
                <w:szCs w:val="22"/>
              </w:rPr>
            </w:pPr>
            <w:r w:rsidRPr="001B2353">
              <w:rPr>
                <w:rFonts w:asciiTheme="minorHAnsi" w:hAnsiTheme="minorHAnsi" w:cs="Arial"/>
                <w:sz w:val="22"/>
                <w:szCs w:val="22"/>
              </w:rPr>
              <w:t>4456</w:t>
            </w:r>
          </w:p>
        </w:tc>
        <w:tc>
          <w:tcPr>
            <w:tcW w:w="1984" w:type="dxa"/>
            <w:tcBorders>
              <w:top w:val="nil"/>
              <w:left w:val="nil"/>
              <w:bottom w:val="single" w:sz="4" w:space="0" w:color="auto"/>
              <w:right w:val="single" w:sz="4" w:space="0" w:color="auto"/>
            </w:tcBorders>
            <w:shd w:val="clear" w:color="auto" w:fill="auto"/>
            <w:noWrap/>
            <w:vAlign w:val="bottom"/>
            <w:hideMark/>
          </w:tcPr>
          <w:p w:rsidR="00783BF5" w:rsidRPr="001B2353" w:rsidRDefault="00783BF5" w:rsidP="00E02335">
            <w:pPr>
              <w:jc w:val="center"/>
              <w:rPr>
                <w:rFonts w:asciiTheme="minorHAnsi" w:hAnsiTheme="minorHAnsi" w:cs="Arial"/>
                <w:sz w:val="22"/>
                <w:szCs w:val="22"/>
              </w:rPr>
            </w:pPr>
            <w:r w:rsidRPr="001B2353">
              <w:rPr>
                <w:rFonts w:asciiTheme="minorHAnsi" w:hAnsiTheme="minorHAnsi" w:cs="Arial"/>
                <w:sz w:val="22"/>
                <w:szCs w:val="22"/>
              </w:rPr>
              <w:t>3863</w:t>
            </w:r>
          </w:p>
        </w:tc>
        <w:tc>
          <w:tcPr>
            <w:tcW w:w="2337" w:type="dxa"/>
            <w:tcBorders>
              <w:top w:val="nil"/>
              <w:left w:val="nil"/>
              <w:bottom w:val="single" w:sz="4" w:space="0" w:color="auto"/>
              <w:right w:val="single" w:sz="4" w:space="0" w:color="auto"/>
            </w:tcBorders>
            <w:shd w:val="clear" w:color="auto" w:fill="auto"/>
            <w:noWrap/>
            <w:vAlign w:val="bottom"/>
            <w:hideMark/>
          </w:tcPr>
          <w:p w:rsidR="00783BF5" w:rsidRPr="001B2353" w:rsidRDefault="00783BF5" w:rsidP="00E02335">
            <w:pPr>
              <w:jc w:val="center"/>
              <w:rPr>
                <w:rFonts w:asciiTheme="minorHAnsi" w:hAnsiTheme="minorHAnsi" w:cs="Arial"/>
                <w:sz w:val="22"/>
                <w:szCs w:val="22"/>
              </w:rPr>
            </w:pPr>
            <w:r w:rsidRPr="001B2353">
              <w:rPr>
                <w:rFonts w:asciiTheme="minorHAnsi" w:hAnsiTheme="minorHAnsi" w:cs="Arial"/>
                <w:sz w:val="22"/>
                <w:szCs w:val="22"/>
              </w:rPr>
              <w:t>593</w:t>
            </w:r>
          </w:p>
        </w:tc>
      </w:tr>
      <w:tr w:rsidR="00E02335" w:rsidRPr="001B2353" w:rsidTr="00E02335">
        <w:trPr>
          <w:trHeight w:val="203"/>
          <w:jc w:val="right"/>
        </w:trPr>
        <w:tc>
          <w:tcPr>
            <w:tcW w:w="404" w:type="dxa"/>
            <w:tcBorders>
              <w:top w:val="nil"/>
              <w:left w:val="single" w:sz="4" w:space="0" w:color="auto"/>
              <w:bottom w:val="single" w:sz="4" w:space="0" w:color="auto"/>
              <w:right w:val="single" w:sz="4" w:space="0" w:color="auto"/>
            </w:tcBorders>
            <w:shd w:val="clear" w:color="auto" w:fill="auto"/>
            <w:vAlign w:val="bottom"/>
            <w:hideMark/>
          </w:tcPr>
          <w:p w:rsidR="00783BF5" w:rsidRPr="001B2353" w:rsidRDefault="00783BF5" w:rsidP="00E02335">
            <w:pPr>
              <w:jc w:val="center"/>
              <w:rPr>
                <w:rFonts w:asciiTheme="minorHAnsi" w:hAnsiTheme="minorHAnsi" w:cs="Arial"/>
                <w:color w:val="000000"/>
                <w:sz w:val="22"/>
                <w:szCs w:val="22"/>
              </w:rPr>
            </w:pPr>
            <w:r w:rsidRPr="001B2353">
              <w:rPr>
                <w:rFonts w:asciiTheme="minorHAnsi" w:hAnsiTheme="minorHAnsi" w:cs="Arial"/>
                <w:color w:val="000000"/>
                <w:sz w:val="22"/>
                <w:szCs w:val="22"/>
              </w:rPr>
              <w:t>2</w:t>
            </w:r>
          </w:p>
        </w:tc>
        <w:tc>
          <w:tcPr>
            <w:tcW w:w="2320" w:type="dxa"/>
            <w:tcBorders>
              <w:top w:val="nil"/>
              <w:left w:val="nil"/>
              <w:bottom w:val="single" w:sz="4" w:space="0" w:color="auto"/>
              <w:right w:val="single" w:sz="4" w:space="0" w:color="auto"/>
            </w:tcBorders>
            <w:shd w:val="clear" w:color="auto" w:fill="auto"/>
            <w:noWrap/>
            <w:vAlign w:val="bottom"/>
            <w:hideMark/>
          </w:tcPr>
          <w:p w:rsidR="00783BF5" w:rsidRPr="001B2353" w:rsidRDefault="00783BF5" w:rsidP="00E02335">
            <w:pPr>
              <w:jc w:val="center"/>
              <w:rPr>
                <w:rFonts w:asciiTheme="minorHAnsi" w:hAnsiTheme="minorHAnsi" w:cs="Arial"/>
                <w:sz w:val="22"/>
                <w:szCs w:val="22"/>
              </w:rPr>
            </w:pPr>
            <w:r w:rsidRPr="001B2353">
              <w:rPr>
                <w:rFonts w:asciiTheme="minorHAnsi" w:hAnsiTheme="minorHAnsi" w:cs="Arial"/>
                <w:sz w:val="22"/>
                <w:szCs w:val="22"/>
              </w:rPr>
              <w:t>złotoryjski</w:t>
            </w:r>
          </w:p>
        </w:tc>
        <w:tc>
          <w:tcPr>
            <w:tcW w:w="1985" w:type="dxa"/>
            <w:tcBorders>
              <w:top w:val="nil"/>
              <w:left w:val="nil"/>
              <w:bottom w:val="single" w:sz="4" w:space="0" w:color="auto"/>
              <w:right w:val="single" w:sz="4" w:space="0" w:color="auto"/>
            </w:tcBorders>
            <w:shd w:val="clear" w:color="auto" w:fill="auto"/>
            <w:noWrap/>
            <w:vAlign w:val="bottom"/>
            <w:hideMark/>
          </w:tcPr>
          <w:p w:rsidR="00783BF5" w:rsidRPr="001B2353" w:rsidRDefault="00783BF5" w:rsidP="00E02335">
            <w:pPr>
              <w:jc w:val="center"/>
              <w:rPr>
                <w:rFonts w:asciiTheme="minorHAnsi" w:hAnsiTheme="minorHAnsi" w:cs="Arial"/>
                <w:sz w:val="22"/>
                <w:szCs w:val="22"/>
              </w:rPr>
            </w:pPr>
            <w:r w:rsidRPr="001B2353">
              <w:rPr>
                <w:rFonts w:asciiTheme="minorHAnsi" w:hAnsiTheme="minorHAnsi" w:cs="Arial"/>
                <w:sz w:val="22"/>
                <w:szCs w:val="22"/>
              </w:rPr>
              <w:t>4448</w:t>
            </w:r>
          </w:p>
        </w:tc>
        <w:tc>
          <w:tcPr>
            <w:tcW w:w="1984" w:type="dxa"/>
            <w:tcBorders>
              <w:top w:val="nil"/>
              <w:left w:val="nil"/>
              <w:bottom w:val="single" w:sz="4" w:space="0" w:color="auto"/>
              <w:right w:val="single" w:sz="4" w:space="0" w:color="auto"/>
            </w:tcBorders>
            <w:shd w:val="clear" w:color="auto" w:fill="auto"/>
            <w:noWrap/>
            <w:vAlign w:val="bottom"/>
            <w:hideMark/>
          </w:tcPr>
          <w:p w:rsidR="00783BF5" w:rsidRPr="001B2353" w:rsidRDefault="00783BF5" w:rsidP="00E02335">
            <w:pPr>
              <w:jc w:val="center"/>
              <w:rPr>
                <w:rFonts w:asciiTheme="minorHAnsi" w:hAnsiTheme="minorHAnsi" w:cs="Arial"/>
                <w:sz w:val="22"/>
                <w:szCs w:val="22"/>
              </w:rPr>
            </w:pPr>
            <w:r w:rsidRPr="001B2353">
              <w:rPr>
                <w:rFonts w:asciiTheme="minorHAnsi" w:hAnsiTheme="minorHAnsi" w:cs="Arial"/>
                <w:sz w:val="22"/>
                <w:szCs w:val="22"/>
              </w:rPr>
              <w:t>4262</w:t>
            </w:r>
          </w:p>
        </w:tc>
        <w:tc>
          <w:tcPr>
            <w:tcW w:w="2337" w:type="dxa"/>
            <w:tcBorders>
              <w:top w:val="nil"/>
              <w:left w:val="nil"/>
              <w:bottom w:val="single" w:sz="4" w:space="0" w:color="auto"/>
              <w:right w:val="single" w:sz="4" w:space="0" w:color="auto"/>
            </w:tcBorders>
            <w:shd w:val="clear" w:color="auto" w:fill="auto"/>
            <w:noWrap/>
            <w:vAlign w:val="bottom"/>
            <w:hideMark/>
          </w:tcPr>
          <w:p w:rsidR="00783BF5" w:rsidRPr="001B2353" w:rsidRDefault="00783BF5" w:rsidP="00E02335">
            <w:pPr>
              <w:jc w:val="center"/>
              <w:rPr>
                <w:rFonts w:asciiTheme="minorHAnsi" w:hAnsiTheme="minorHAnsi" w:cs="Arial"/>
                <w:sz w:val="22"/>
                <w:szCs w:val="22"/>
              </w:rPr>
            </w:pPr>
            <w:r w:rsidRPr="001B2353">
              <w:rPr>
                <w:rFonts w:asciiTheme="minorHAnsi" w:hAnsiTheme="minorHAnsi" w:cs="Arial"/>
                <w:sz w:val="22"/>
                <w:szCs w:val="22"/>
              </w:rPr>
              <w:t>186</w:t>
            </w:r>
          </w:p>
        </w:tc>
      </w:tr>
      <w:tr w:rsidR="00E02335" w:rsidRPr="001B2353" w:rsidTr="00E02335">
        <w:trPr>
          <w:trHeight w:val="203"/>
          <w:jc w:val="right"/>
        </w:trPr>
        <w:tc>
          <w:tcPr>
            <w:tcW w:w="404" w:type="dxa"/>
            <w:tcBorders>
              <w:top w:val="nil"/>
              <w:left w:val="single" w:sz="4" w:space="0" w:color="auto"/>
              <w:bottom w:val="single" w:sz="4" w:space="0" w:color="auto"/>
              <w:right w:val="single" w:sz="4" w:space="0" w:color="auto"/>
            </w:tcBorders>
            <w:shd w:val="clear" w:color="auto" w:fill="auto"/>
            <w:vAlign w:val="bottom"/>
            <w:hideMark/>
          </w:tcPr>
          <w:p w:rsidR="00783BF5" w:rsidRPr="001B2353" w:rsidRDefault="00783BF5" w:rsidP="00E02335">
            <w:pPr>
              <w:jc w:val="center"/>
              <w:rPr>
                <w:rFonts w:asciiTheme="minorHAnsi" w:hAnsiTheme="minorHAnsi" w:cs="Arial"/>
                <w:color w:val="000000"/>
                <w:sz w:val="22"/>
                <w:szCs w:val="22"/>
              </w:rPr>
            </w:pPr>
            <w:r w:rsidRPr="001B2353">
              <w:rPr>
                <w:rFonts w:asciiTheme="minorHAnsi" w:hAnsiTheme="minorHAnsi" w:cs="Arial"/>
                <w:color w:val="000000"/>
                <w:sz w:val="22"/>
                <w:szCs w:val="22"/>
              </w:rPr>
              <w:t>3</w:t>
            </w:r>
          </w:p>
        </w:tc>
        <w:tc>
          <w:tcPr>
            <w:tcW w:w="2320" w:type="dxa"/>
            <w:tcBorders>
              <w:top w:val="nil"/>
              <w:left w:val="nil"/>
              <w:bottom w:val="single" w:sz="4" w:space="0" w:color="auto"/>
              <w:right w:val="single" w:sz="4" w:space="0" w:color="auto"/>
            </w:tcBorders>
            <w:shd w:val="clear" w:color="auto" w:fill="auto"/>
            <w:noWrap/>
            <w:vAlign w:val="bottom"/>
            <w:hideMark/>
          </w:tcPr>
          <w:p w:rsidR="00783BF5" w:rsidRPr="001B2353" w:rsidRDefault="00783BF5" w:rsidP="00E02335">
            <w:pPr>
              <w:jc w:val="center"/>
              <w:rPr>
                <w:rFonts w:asciiTheme="minorHAnsi" w:hAnsiTheme="minorHAnsi" w:cs="Arial"/>
                <w:sz w:val="22"/>
                <w:szCs w:val="22"/>
              </w:rPr>
            </w:pPr>
            <w:r w:rsidRPr="001B2353">
              <w:rPr>
                <w:rFonts w:asciiTheme="minorHAnsi" w:hAnsiTheme="minorHAnsi" w:cs="Arial"/>
                <w:sz w:val="22"/>
                <w:szCs w:val="22"/>
              </w:rPr>
              <w:t>kłodzki</w:t>
            </w:r>
          </w:p>
        </w:tc>
        <w:tc>
          <w:tcPr>
            <w:tcW w:w="1985" w:type="dxa"/>
            <w:tcBorders>
              <w:top w:val="nil"/>
              <w:left w:val="nil"/>
              <w:bottom w:val="single" w:sz="4" w:space="0" w:color="auto"/>
              <w:right w:val="single" w:sz="4" w:space="0" w:color="auto"/>
            </w:tcBorders>
            <w:shd w:val="clear" w:color="auto" w:fill="auto"/>
            <w:noWrap/>
            <w:vAlign w:val="bottom"/>
            <w:hideMark/>
          </w:tcPr>
          <w:p w:rsidR="00783BF5" w:rsidRPr="001B2353" w:rsidRDefault="00783BF5" w:rsidP="00E02335">
            <w:pPr>
              <w:jc w:val="center"/>
              <w:rPr>
                <w:rFonts w:asciiTheme="minorHAnsi" w:hAnsiTheme="minorHAnsi" w:cs="Arial"/>
                <w:sz w:val="22"/>
                <w:szCs w:val="22"/>
              </w:rPr>
            </w:pPr>
            <w:r w:rsidRPr="001B2353">
              <w:rPr>
                <w:rFonts w:asciiTheme="minorHAnsi" w:hAnsiTheme="minorHAnsi" w:cs="Arial"/>
                <w:sz w:val="22"/>
                <w:szCs w:val="22"/>
              </w:rPr>
              <w:t>15024</w:t>
            </w:r>
          </w:p>
        </w:tc>
        <w:tc>
          <w:tcPr>
            <w:tcW w:w="1984" w:type="dxa"/>
            <w:tcBorders>
              <w:top w:val="nil"/>
              <w:left w:val="nil"/>
              <w:bottom w:val="single" w:sz="4" w:space="0" w:color="auto"/>
              <w:right w:val="single" w:sz="4" w:space="0" w:color="auto"/>
            </w:tcBorders>
            <w:shd w:val="clear" w:color="auto" w:fill="auto"/>
            <w:noWrap/>
            <w:vAlign w:val="bottom"/>
            <w:hideMark/>
          </w:tcPr>
          <w:p w:rsidR="00783BF5" w:rsidRPr="001B2353" w:rsidRDefault="00783BF5" w:rsidP="00E02335">
            <w:pPr>
              <w:jc w:val="center"/>
              <w:rPr>
                <w:rFonts w:asciiTheme="minorHAnsi" w:hAnsiTheme="minorHAnsi" w:cs="Arial"/>
                <w:sz w:val="22"/>
                <w:szCs w:val="22"/>
              </w:rPr>
            </w:pPr>
            <w:r w:rsidRPr="001B2353">
              <w:rPr>
                <w:rFonts w:asciiTheme="minorHAnsi" w:hAnsiTheme="minorHAnsi" w:cs="Arial"/>
                <w:sz w:val="22"/>
                <w:szCs w:val="22"/>
              </w:rPr>
              <w:t>14917</w:t>
            </w:r>
          </w:p>
        </w:tc>
        <w:tc>
          <w:tcPr>
            <w:tcW w:w="2337" w:type="dxa"/>
            <w:tcBorders>
              <w:top w:val="nil"/>
              <w:left w:val="nil"/>
              <w:bottom w:val="single" w:sz="4" w:space="0" w:color="auto"/>
              <w:right w:val="single" w:sz="4" w:space="0" w:color="auto"/>
            </w:tcBorders>
            <w:shd w:val="clear" w:color="auto" w:fill="auto"/>
            <w:noWrap/>
            <w:vAlign w:val="bottom"/>
            <w:hideMark/>
          </w:tcPr>
          <w:p w:rsidR="00783BF5" w:rsidRPr="001B2353" w:rsidRDefault="00783BF5" w:rsidP="00E02335">
            <w:pPr>
              <w:jc w:val="center"/>
              <w:rPr>
                <w:rFonts w:asciiTheme="minorHAnsi" w:hAnsiTheme="minorHAnsi" w:cs="Arial"/>
                <w:sz w:val="22"/>
                <w:szCs w:val="22"/>
              </w:rPr>
            </w:pPr>
            <w:r w:rsidRPr="001B2353">
              <w:rPr>
                <w:rFonts w:asciiTheme="minorHAnsi" w:hAnsiTheme="minorHAnsi" w:cs="Arial"/>
                <w:sz w:val="22"/>
                <w:szCs w:val="22"/>
              </w:rPr>
              <w:t>107</w:t>
            </w:r>
          </w:p>
        </w:tc>
      </w:tr>
      <w:tr w:rsidR="00E02335" w:rsidRPr="001B2353" w:rsidTr="00E02335">
        <w:trPr>
          <w:trHeight w:val="203"/>
          <w:jc w:val="right"/>
        </w:trPr>
        <w:tc>
          <w:tcPr>
            <w:tcW w:w="404" w:type="dxa"/>
            <w:tcBorders>
              <w:top w:val="nil"/>
              <w:left w:val="single" w:sz="4" w:space="0" w:color="auto"/>
              <w:bottom w:val="single" w:sz="4" w:space="0" w:color="auto"/>
              <w:right w:val="single" w:sz="4" w:space="0" w:color="auto"/>
            </w:tcBorders>
            <w:shd w:val="clear" w:color="auto" w:fill="auto"/>
            <w:vAlign w:val="bottom"/>
            <w:hideMark/>
          </w:tcPr>
          <w:p w:rsidR="00783BF5" w:rsidRPr="001B2353" w:rsidRDefault="00783BF5" w:rsidP="00E02335">
            <w:pPr>
              <w:jc w:val="center"/>
              <w:rPr>
                <w:rFonts w:asciiTheme="minorHAnsi" w:hAnsiTheme="minorHAnsi" w:cs="Arial"/>
                <w:color w:val="000000"/>
                <w:sz w:val="22"/>
                <w:szCs w:val="22"/>
              </w:rPr>
            </w:pPr>
            <w:r w:rsidRPr="001B2353">
              <w:rPr>
                <w:rFonts w:asciiTheme="minorHAnsi" w:hAnsiTheme="minorHAnsi" w:cs="Arial"/>
                <w:color w:val="000000"/>
                <w:sz w:val="22"/>
                <w:szCs w:val="22"/>
              </w:rPr>
              <w:t>4</w:t>
            </w:r>
          </w:p>
        </w:tc>
        <w:tc>
          <w:tcPr>
            <w:tcW w:w="2320" w:type="dxa"/>
            <w:tcBorders>
              <w:top w:val="nil"/>
              <w:left w:val="nil"/>
              <w:bottom w:val="single" w:sz="4" w:space="0" w:color="auto"/>
              <w:right w:val="single" w:sz="4" w:space="0" w:color="auto"/>
            </w:tcBorders>
            <w:shd w:val="clear" w:color="auto" w:fill="auto"/>
            <w:noWrap/>
            <w:vAlign w:val="bottom"/>
            <w:hideMark/>
          </w:tcPr>
          <w:p w:rsidR="00783BF5" w:rsidRPr="001B2353" w:rsidRDefault="00783BF5" w:rsidP="00E02335">
            <w:pPr>
              <w:jc w:val="center"/>
              <w:rPr>
                <w:rFonts w:asciiTheme="minorHAnsi" w:hAnsiTheme="minorHAnsi" w:cs="Arial"/>
                <w:sz w:val="22"/>
                <w:szCs w:val="22"/>
              </w:rPr>
            </w:pPr>
            <w:r w:rsidRPr="001B2353">
              <w:rPr>
                <w:rFonts w:asciiTheme="minorHAnsi" w:hAnsiTheme="minorHAnsi" w:cs="Arial"/>
                <w:sz w:val="22"/>
                <w:szCs w:val="22"/>
              </w:rPr>
              <w:t>lwówecki</w:t>
            </w:r>
          </w:p>
        </w:tc>
        <w:tc>
          <w:tcPr>
            <w:tcW w:w="1985" w:type="dxa"/>
            <w:tcBorders>
              <w:top w:val="nil"/>
              <w:left w:val="nil"/>
              <w:bottom w:val="single" w:sz="4" w:space="0" w:color="auto"/>
              <w:right w:val="single" w:sz="4" w:space="0" w:color="auto"/>
            </w:tcBorders>
            <w:shd w:val="clear" w:color="auto" w:fill="auto"/>
            <w:noWrap/>
            <w:vAlign w:val="bottom"/>
            <w:hideMark/>
          </w:tcPr>
          <w:p w:rsidR="00783BF5" w:rsidRPr="001B2353" w:rsidRDefault="00783BF5" w:rsidP="00E02335">
            <w:pPr>
              <w:jc w:val="center"/>
              <w:rPr>
                <w:rFonts w:asciiTheme="minorHAnsi" w:hAnsiTheme="minorHAnsi" w:cs="Arial"/>
                <w:sz w:val="22"/>
                <w:szCs w:val="22"/>
              </w:rPr>
            </w:pPr>
            <w:r w:rsidRPr="001B2353">
              <w:rPr>
                <w:rFonts w:asciiTheme="minorHAnsi" w:hAnsiTheme="minorHAnsi" w:cs="Arial"/>
                <w:sz w:val="22"/>
                <w:szCs w:val="22"/>
              </w:rPr>
              <w:t>4039</w:t>
            </w:r>
          </w:p>
        </w:tc>
        <w:tc>
          <w:tcPr>
            <w:tcW w:w="1984" w:type="dxa"/>
            <w:tcBorders>
              <w:top w:val="nil"/>
              <w:left w:val="nil"/>
              <w:bottom w:val="single" w:sz="4" w:space="0" w:color="auto"/>
              <w:right w:val="single" w:sz="4" w:space="0" w:color="auto"/>
            </w:tcBorders>
            <w:shd w:val="clear" w:color="auto" w:fill="auto"/>
            <w:noWrap/>
            <w:vAlign w:val="bottom"/>
            <w:hideMark/>
          </w:tcPr>
          <w:p w:rsidR="00783BF5" w:rsidRPr="001B2353" w:rsidRDefault="00783BF5" w:rsidP="00E02335">
            <w:pPr>
              <w:jc w:val="center"/>
              <w:rPr>
                <w:rFonts w:asciiTheme="minorHAnsi" w:hAnsiTheme="minorHAnsi" w:cs="Arial"/>
                <w:sz w:val="22"/>
                <w:szCs w:val="22"/>
              </w:rPr>
            </w:pPr>
            <w:r w:rsidRPr="001B2353">
              <w:rPr>
                <w:rFonts w:asciiTheme="minorHAnsi" w:hAnsiTheme="minorHAnsi" w:cs="Arial"/>
                <w:sz w:val="22"/>
                <w:szCs w:val="22"/>
              </w:rPr>
              <w:t>3932</w:t>
            </w:r>
          </w:p>
        </w:tc>
        <w:tc>
          <w:tcPr>
            <w:tcW w:w="2337" w:type="dxa"/>
            <w:tcBorders>
              <w:top w:val="nil"/>
              <w:left w:val="nil"/>
              <w:bottom w:val="single" w:sz="4" w:space="0" w:color="auto"/>
              <w:right w:val="single" w:sz="4" w:space="0" w:color="auto"/>
            </w:tcBorders>
            <w:shd w:val="clear" w:color="auto" w:fill="auto"/>
            <w:noWrap/>
            <w:vAlign w:val="bottom"/>
            <w:hideMark/>
          </w:tcPr>
          <w:p w:rsidR="00783BF5" w:rsidRPr="001B2353" w:rsidRDefault="00783BF5" w:rsidP="00E02335">
            <w:pPr>
              <w:jc w:val="center"/>
              <w:rPr>
                <w:rFonts w:asciiTheme="minorHAnsi" w:hAnsiTheme="minorHAnsi" w:cs="Arial"/>
                <w:sz w:val="22"/>
                <w:szCs w:val="22"/>
              </w:rPr>
            </w:pPr>
            <w:r w:rsidRPr="001B2353">
              <w:rPr>
                <w:rFonts w:asciiTheme="minorHAnsi" w:hAnsiTheme="minorHAnsi" w:cs="Arial"/>
                <w:sz w:val="22"/>
                <w:szCs w:val="22"/>
              </w:rPr>
              <w:t>107</w:t>
            </w:r>
          </w:p>
        </w:tc>
      </w:tr>
    </w:tbl>
    <w:p w:rsidR="00783BF5" w:rsidRPr="001B2353" w:rsidRDefault="00783BF5" w:rsidP="00783BF5">
      <w:pPr>
        <w:spacing w:line="360" w:lineRule="auto"/>
        <w:jc w:val="both"/>
        <w:rPr>
          <w:rFonts w:asciiTheme="minorHAnsi" w:hAnsiTheme="minorHAnsi" w:cs="Arial"/>
          <w:sz w:val="22"/>
          <w:szCs w:val="22"/>
        </w:rPr>
      </w:pPr>
    </w:p>
    <w:p w:rsidR="00783BF5" w:rsidRPr="001B2353" w:rsidRDefault="00783BF5" w:rsidP="00783BF5">
      <w:pPr>
        <w:numPr>
          <w:ilvl w:val="0"/>
          <w:numId w:val="24"/>
        </w:numPr>
        <w:spacing w:line="360" w:lineRule="auto"/>
        <w:jc w:val="both"/>
        <w:rPr>
          <w:rFonts w:asciiTheme="minorHAnsi" w:hAnsiTheme="minorHAnsi" w:cs="Arial"/>
          <w:iCs/>
          <w:sz w:val="22"/>
          <w:szCs w:val="22"/>
        </w:rPr>
      </w:pPr>
      <w:r w:rsidRPr="001B2353">
        <w:rPr>
          <w:rFonts w:asciiTheme="minorHAnsi" w:hAnsiTheme="minorHAnsi" w:cs="Arial"/>
          <w:iCs/>
          <w:sz w:val="22"/>
          <w:szCs w:val="22"/>
        </w:rPr>
        <w:lastRenderedPageBreak/>
        <w:t xml:space="preserve">O 3227 osób zmniejszyła się liczba zarejestrowanych bezrobotnych poprzednio pracujących </w:t>
      </w:r>
      <w:r w:rsidRPr="001B2353">
        <w:rPr>
          <w:rFonts w:asciiTheme="minorHAnsi" w:hAnsiTheme="minorHAnsi" w:cs="Arial"/>
          <w:sz w:val="22"/>
          <w:szCs w:val="22"/>
        </w:rPr>
        <w:t>(w analogicznym okresie 2012 roku odnotowano wzrost  o 13347 osób). Odsetek tej grupy bezrobotnych w ogólnej liczbie zarejestrowanych osób zwiększył się w okresie dwunastu miesięcy 2013 r. z 86,8% na koniec grudnia 2012 r. do 86,9% na koniec grudnia 2013 r.</w:t>
      </w:r>
    </w:p>
    <w:p w:rsidR="00783BF5" w:rsidRPr="001B2353" w:rsidRDefault="00783BF5" w:rsidP="00783BF5">
      <w:pPr>
        <w:numPr>
          <w:ilvl w:val="0"/>
          <w:numId w:val="24"/>
        </w:numPr>
        <w:spacing w:line="360" w:lineRule="auto"/>
        <w:jc w:val="both"/>
        <w:rPr>
          <w:rFonts w:asciiTheme="minorHAnsi" w:hAnsiTheme="minorHAnsi" w:cs="Arial"/>
          <w:iCs/>
          <w:sz w:val="22"/>
          <w:szCs w:val="22"/>
        </w:rPr>
      </w:pPr>
      <w:r w:rsidRPr="001B2353">
        <w:rPr>
          <w:rFonts w:asciiTheme="minorHAnsi" w:hAnsiTheme="minorHAnsi" w:cs="Arial"/>
          <w:sz w:val="22"/>
          <w:szCs w:val="22"/>
        </w:rPr>
        <w:t xml:space="preserve">W okresie </w:t>
      </w:r>
      <w:r w:rsidRPr="001B2353">
        <w:rPr>
          <w:rFonts w:asciiTheme="minorHAnsi" w:hAnsiTheme="minorHAnsi" w:cs="Arial"/>
          <w:iCs/>
          <w:sz w:val="22"/>
          <w:szCs w:val="22"/>
        </w:rPr>
        <w:t>styczeń</w:t>
      </w:r>
      <w:r w:rsidRPr="001B2353">
        <w:rPr>
          <w:rFonts w:asciiTheme="minorHAnsi" w:hAnsiTheme="minorHAnsi" w:cs="Arial"/>
          <w:sz w:val="22"/>
          <w:szCs w:val="22"/>
        </w:rPr>
        <w:t xml:space="preserve"> – grudzień 2013 roku zanotowano większy spadek liczby bezrobotnych kobiet niż bezrobotnych mężczyzn. Populacja bezrobotnych kobiet zmniejszyła się o 2483 osoby (w okresie dwunastu miesięcy 2012 roku zanotowano wzrost o 3902 osoby), liczba bezrobotnych mężczyzn zmniejszyła się o 1328 osób (w analogicznym okresie w 2012 roku odnotowano wzrost o 9892 osoby). Odsetek bezrobotnych kobiet zmalał w porównaniu do stanu na koniec grudnia 2012  o 0,3 punktu procentowego i wynosił 50,7% (51,0</w:t>
      </w:r>
      <w:r w:rsidR="00E02335" w:rsidRPr="001B2353">
        <w:rPr>
          <w:rFonts w:asciiTheme="minorHAnsi" w:hAnsiTheme="minorHAnsi" w:cs="Arial"/>
          <w:sz w:val="22"/>
          <w:szCs w:val="22"/>
        </w:rPr>
        <w:t>%</w:t>
      </w:r>
      <w:r w:rsidRPr="001B2353">
        <w:rPr>
          <w:rFonts w:asciiTheme="minorHAnsi" w:hAnsiTheme="minorHAnsi" w:cs="Arial"/>
          <w:sz w:val="22"/>
          <w:szCs w:val="22"/>
        </w:rPr>
        <w:t xml:space="preserve"> na koniec grudnia 2012 r). Odsetek bezrobotnych mężczyzn wynosił 49,3% (49,0% na koniec grudnia 2012 r.). </w:t>
      </w:r>
    </w:p>
    <w:p w:rsidR="00783BF5" w:rsidRPr="001B2353" w:rsidRDefault="00783BF5" w:rsidP="00783BF5">
      <w:pPr>
        <w:numPr>
          <w:ilvl w:val="0"/>
          <w:numId w:val="24"/>
        </w:numPr>
        <w:spacing w:line="360" w:lineRule="auto"/>
        <w:jc w:val="both"/>
        <w:rPr>
          <w:rFonts w:asciiTheme="minorHAnsi" w:hAnsiTheme="minorHAnsi" w:cs="Arial"/>
          <w:iCs/>
          <w:sz w:val="22"/>
          <w:szCs w:val="22"/>
        </w:rPr>
      </w:pPr>
      <w:r w:rsidRPr="001B2353">
        <w:rPr>
          <w:rFonts w:asciiTheme="minorHAnsi" w:hAnsiTheme="minorHAnsi" w:cs="Arial"/>
          <w:sz w:val="22"/>
          <w:szCs w:val="22"/>
        </w:rPr>
        <w:t xml:space="preserve">W ciągu dwunastu </w:t>
      </w:r>
      <w:r w:rsidRPr="001B2353">
        <w:rPr>
          <w:rFonts w:asciiTheme="minorHAnsi" w:hAnsiTheme="minorHAnsi" w:cs="Arial"/>
          <w:iCs/>
          <w:sz w:val="22"/>
          <w:szCs w:val="22"/>
        </w:rPr>
        <w:t>miesięcy</w:t>
      </w:r>
      <w:r w:rsidRPr="001B2353">
        <w:rPr>
          <w:rFonts w:asciiTheme="minorHAnsi" w:hAnsiTheme="minorHAnsi" w:cs="Arial"/>
          <w:sz w:val="22"/>
          <w:szCs w:val="22"/>
        </w:rPr>
        <w:t xml:space="preserve"> 2013 roku liczba osób w okresie 12 miesięcy od dnia ukończenia nauki (absolwenci) zmniejszyła się o 419 osób (w analogicznym okresie roku ubiegłego odnotowano wzrost o 492 osoby). Odsetek bezrobotnych absolwentów na koniec grudnia 2013 r. wynosił  4,4% (na koniec grudnia 2012 r. kształtował się na poziomie 4,6 %</w:t>
      </w:r>
      <w:r w:rsidRPr="001B2353">
        <w:rPr>
          <w:rFonts w:asciiTheme="minorHAnsi" w:hAnsiTheme="minorHAnsi" w:cs="Arial"/>
          <w:iCs/>
          <w:sz w:val="22"/>
          <w:szCs w:val="22"/>
        </w:rPr>
        <w:t xml:space="preserve">). </w:t>
      </w:r>
    </w:p>
    <w:p w:rsidR="00783BF5" w:rsidRPr="001B2353" w:rsidRDefault="00783BF5" w:rsidP="00783BF5">
      <w:pPr>
        <w:numPr>
          <w:ilvl w:val="0"/>
          <w:numId w:val="24"/>
        </w:numPr>
        <w:spacing w:line="360" w:lineRule="auto"/>
        <w:jc w:val="both"/>
        <w:rPr>
          <w:rFonts w:asciiTheme="minorHAnsi" w:hAnsiTheme="minorHAnsi" w:cs="Arial"/>
          <w:iCs/>
          <w:sz w:val="22"/>
          <w:szCs w:val="22"/>
        </w:rPr>
      </w:pPr>
      <w:r w:rsidRPr="001B2353">
        <w:rPr>
          <w:rFonts w:asciiTheme="minorHAnsi" w:hAnsiTheme="minorHAnsi" w:cs="Arial"/>
          <w:iCs/>
          <w:sz w:val="22"/>
          <w:szCs w:val="22"/>
        </w:rPr>
        <w:t xml:space="preserve">O 171 osób zmniejszyła się liczba bezrobotnych, którzy ukończyli szkołę wyższą do 27 roku życia (i jednocześnie należą do grupy </w:t>
      </w:r>
      <w:r w:rsidRPr="001B2353">
        <w:rPr>
          <w:rFonts w:asciiTheme="minorHAnsi" w:hAnsiTheme="minorHAnsi" w:cs="Arial"/>
          <w:sz w:val="22"/>
          <w:szCs w:val="22"/>
        </w:rPr>
        <w:t>osób w okresie 12 miesięcy od dnia ukończenia nauki)</w:t>
      </w:r>
      <w:r w:rsidRPr="001B2353">
        <w:rPr>
          <w:rFonts w:asciiTheme="minorHAnsi" w:hAnsiTheme="minorHAnsi" w:cs="Arial"/>
          <w:iCs/>
          <w:sz w:val="22"/>
          <w:szCs w:val="22"/>
        </w:rPr>
        <w:t xml:space="preserve">. </w:t>
      </w:r>
      <w:r w:rsidRPr="001B2353">
        <w:rPr>
          <w:rFonts w:asciiTheme="minorHAnsi" w:hAnsiTheme="minorHAnsi" w:cs="Arial"/>
          <w:sz w:val="22"/>
          <w:szCs w:val="22"/>
        </w:rPr>
        <w:t xml:space="preserve">Dla porównania należy dodać, że w okresie styczeń – grudzień w roku 2012 liczba bezrobotnych w tej grupie zmniejszyła się o 51 osób. Odsetek </w:t>
      </w:r>
      <w:r w:rsidR="00E02335" w:rsidRPr="001B2353">
        <w:rPr>
          <w:rFonts w:asciiTheme="minorHAnsi" w:hAnsiTheme="minorHAnsi" w:cs="Arial"/>
          <w:sz w:val="22"/>
          <w:szCs w:val="22"/>
        </w:rPr>
        <w:t xml:space="preserve">tych </w:t>
      </w:r>
      <w:r w:rsidRPr="001B2353">
        <w:rPr>
          <w:rFonts w:asciiTheme="minorHAnsi" w:hAnsiTheme="minorHAnsi" w:cs="Arial"/>
          <w:sz w:val="22"/>
          <w:szCs w:val="22"/>
        </w:rPr>
        <w:t>bezrobotnych na koniec grudnia 2013 r. wynosił  1,1% (na koniec grudnia 2012 r. kształtował się na poziomie 1,2 %</w:t>
      </w:r>
      <w:r w:rsidRPr="001B2353">
        <w:rPr>
          <w:rFonts w:asciiTheme="minorHAnsi" w:hAnsiTheme="minorHAnsi" w:cs="Arial"/>
          <w:iCs/>
          <w:sz w:val="22"/>
          <w:szCs w:val="22"/>
        </w:rPr>
        <w:t xml:space="preserve">). </w:t>
      </w:r>
    </w:p>
    <w:p w:rsidR="00783BF5" w:rsidRPr="001B2353" w:rsidRDefault="00783BF5" w:rsidP="00783BF5">
      <w:pPr>
        <w:numPr>
          <w:ilvl w:val="0"/>
          <w:numId w:val="24"/>
        </w:numPr>
        <w:spacing w:line="360" w:lineRule="auto"/>
        <w:jc w:val="both"/>
        <w:rPr>
          <w:rFonts w:asciiTheme="minorHAnsi" w:hAnsiTheme="minorHAnsi" w:cs="Arial"/>
          <w:sz w:val="22"/>
          <w:szCs w:val="22"/>
        </w:rPr>
      </w:pPr>
      <w:r w:rsidRPr="001B2353">
        <w:rPr>
          <w:rFonts w:asciiTheme="minorHAnsi" w:hAnsiTheme="minorHAnsi" w:cs="Arial"/>
          <w:sz w:val="22"/>
          <w:szCs w:val="22"/>
        </w:rPr>
        <w:t xml:space="preserve">Spadła także liczba bezrobotnych zamieszkałych na obszarach wiejskich. W okresie dwunastu miesięcy 2013 r. populacja bezrobotnych zamieszkałych na wsi zmniejszyła się o 714 osób, natomiast w analogicznym okresie w roku 2012 zanotowano wzrost o 4712 osób. Odsetek tej grupy bezrobotnych na koniec grudnia 2013 r. wynosił 36,0% (35,6% na koniec grudnia 2012 r.). </w:t>
      </w:r>
    </w:p>
    <w:p w:rsidR="00AE78DA" w:rsidRPr="001B2353" w:rsidRDefault="00AE78DA" w:rsidP="00715BC1">
      <w:pPr>
        <w:numPr>
          <w:ilvl w:val="0"/>
          <w:numId w:val="25"/>
        </w:numPr>
        <w:spacing w:line="360" w:lineRule="auto"/>
        <w:ind w:left="426" w:hanging="426"/>
        <w:jc w:val="both"/>
        <w:rPr>
          <w:rFonts w:asciiTheme="minorHAnsi" w:hAnsiTheme="minorHAnsi" w:cs="Arial"/>
          <w:b/>
          <w:sz w:val="22"/>
          <w:szCs w:val="22"/>
        </w:rPr>
      </w:pPr>
      <w:r w:rsidRPr="001B2353">
        <w:rPr>
          <w:rFonts w:asciiTheme="minorHAnsi" w:hAnsiTheme="minorHAnsi" w:cs="Arial"/>
          <w:b/>
          <w:sz w:val="22"/>
          <w:szCs w:val="22"/>
        </w:rPr>
        <w:t>Struktura bezrobotnych wg czasu pozostawania bez pracy.</w:t>
      </w:r>
    </w:p>
    <w:p w:rsidR="00AE78DA" w:rsidRPr="001B2353" w:rsidRDefault="008112C6" w:rsidP="00715BC1">
      <w:pPr>
        <w:spacing w:line="360" w:lineRule="auto"/>
        <w:jc w:val="both"/>
        <w:rPr>
          <w:rFonts w:asciiTheme="minorHAnsi" w:hAnsiTheme="minorHAnsi" w:cs="Arial"/>
          <w:sz w:val="22"/>
          <w:szCs w:val="22"/>
        </w:rPr>
      </w:pPr>
      <w:r w:rsidRPr="001B2353">
        <w:rPr>
          <w:rFonts w:asciiTheme="minorHAnsi" w:hAnsiTheme="minorHAnsi" w:cs="Arial"/>
          <w:sz w:val="22"/>
          <w:szCs w:val="22"/>
        </w:rPr>
        <w:t>Najliczniejszą grupą bezrobotnych na koniec IV kwartału 2013 r., stanowiły osoby pozostające bez pracy od 6 do 12 miesięcy. Ich udział w ogólnej liczbie bezrobotnych to 19,4% (23,3% na koniec III kw. 2013 r.). Najmniej liczną grupę stanowiły osoby pozostające bez pracy do jednego miesiąca. Ich udział w ogólnej liczbie bezrobotnych to 9,6% (11,8%, na koniec  III kwartału 2013r.). Wśród osób pozostających bez pracy do 12 miesięcy przeważają mężczyźni, kobiety natomiast stanowią większość wśród osób pozostających bez pracy powyżej 12 miesięcy</w:t>
      </w:r>
      <w:r w:rsidR="00C7155E" w:rsidRPr="001B2353">
        <w:rPr>
          <w:rFonts w:asciiTheme="minorHAnsi" w:hAnsiTheme="minorHAnsi" w:cs="Arial"/>
          <w:sz w:val="22"/>
          <w:szCs w:val="22"/>
        </w:rPr>
        <w:t>.</w:t>
      </w:r>
      <w:r w:rsidRPr="001B2353">
        <w:rPr>
          <w:rFonts w:asciiTheme="minorHAnsi" w:hAnsiTheme="minorHAnsi" w:cs="Arial"/>
          <w:sz w:val="22"/>
          <w:szCs w:val="22"/>
        </w:rPr>
        <w:t xml:space="preserve"> Strukturę bezrobotnych wg czasu pozostawania bez pracy przedstawia poniższy wykres:</w:t>
      </w:r>
    </w:p>
    <w:p w:rsidR="008112C6" w:rsidRPr="001B2353" w:rsidRDefault="008112C6" w:rsidP="008112C6">
      <w:pPr>
        <w:spacing w:line="360" w:lineRule="auto"/>
        <w:jc w:val="center"/>
        <w:rPr>
          <w:rFonts w:asciiTheme="minorHAnsi" w:hAnsiTheme="minorHAnsi" w:cs="Arial"/>
          <w:sz w:val="22"/>
          <w:szCs w:val="22"/>
        </w:rPr>
      </w:pPr>
      <w:r w:rsidRPr="001B2353">
        <w:rPr>
          <w:rFonts w:asciiTheme="minorHAnsi" w:hAnsiTheme="minorHAnsi"/>
          <w:noProof/>
          <w:sz w:val="22"/>
          <w:szCs w:val="22"/>
        </w:rPr>
        <w:lastRenderedPageBreak/>
        <w:drawing>
          <wp:inline distT="0" distB="0" distL="0" distR="0" wp14:anchorId="4C4D870B" wp14:editId="55429AA5">
            <wp:extent cx="5610225" cy="2400300"/>
            <wp:effectExtent l="0" t="0" r="9525" b="19050"/>
            <wp:docPr id="11" name="Wykres 1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D12284" w:rsidRPr="001B2353" w:rsidRDefault="00223163" w:rsidP="00D12284">
      <w:pPr>
        <w:spacing w:line="360" w:lineRule="auto"/>
        <w:ind w:firstLine="708"/>
        <w:jc w:val="center"/>
        <w:rPr>
          <w:rFonts w:asciiTheme="minorHAnsi" w:hAnsiTheme="minorHAnsi" w:cs="Arial"/>
          <w:i/>
          <w:sz w:val="22"/>
          <w:szCs w:val="22"/>
        </w:rPr>
      </w:pPr>
      <w:r w:rsidRPr="001B2353">
        <w:rPr>
          <w:rFonts w:asciiTheme="minorHAnsi" w:hAnsiTheme="minorHAnsi" w:cs="Arial"/>
          <w:i/>
          <w:sz w:val="22"/>
          <w:szCs w:val="22"/>
        </w:rPr>
        <w:t xml:space="preserve">Na podstawie Załącznika 1 do sprawozdania </w:t>
      </w:r>
      <w:proofErr w:type="spellStart"/>
      <w:r w:rsidRPr="001B2353">
        <w:rPr>
          <w:rFonts w:asciiTheme="minorHAnsi" w:hAnsiTheme="minorHAnsi" w:cs="Arial"/>
          <w:i/>
          <w:sz w:val="22"/>
          <w:szCs w:val="22"/>
        </w:rPr>
        <w:t>MPiPS</w:t>
      </w:r>
      <w:proofErr w:type="spellEnd"/>
      <w:r w:rsidRPr="001B2353">
        <w:rPr>
          <w:rFonts w:asciiTheme="minorHAnsi" w:hAnsiTheme="minorHAnsi" w:cs="Arial"/>
          <w:i/>
          <w:sz w:val="22"/>
          <w:szCs w:val="22"/>
        </w:rPr>
        <w:t xml:space="preserve"> – 01 za IV kwartał 201</w:t>
      </w:r>
      <w:r w:rsidR="008112C6" w:rsidRPr="001B2353">
        <w:rPr>
          <w:rFonts w:asciiTheme="minorHAnsi" w:hAnsiTheme="minorHAnsi" w:cs="Arial"/>
          <w:i/>
          <w:sz w:val="22"/>
          <w:szCs w:val="22"/>
        </w:rPr>
        <w:t>3</w:t>
      </w:r>
      <w:r w:rsidRPr="001B2353">
        <w:rPr>
          <w:rFonts w:asciiTheme="minorHAnsi" w:hAnsiTheme="minorHAnsi" w:cs="Arial"/>
          <w:i/>
          <w:sz w:val="22"/>
          <w:szCs w:val="22"/>
        </w:rPr>
        <w:t xml:space="preserve"> r.</w:t>
      </w:r>
    </w:p>
    <w:p w:rsidR="00D12284" w:rsidRPr="00D12284" w:rsidRDefault="00D96FD2" w:rsidP="00D12284">
      <w:pPr>
        <w:numPr>
          <w:ilvl w:val="0"/>
          <w:numId w:val="11"/>
        </w:numPr>
        <w:tabs>
          <w:tab w:val="num" w:pos="426"/>
        </w:tabs>
        <w:spacing w:line="360" w:lineRule="auto"/>
        <w:ind w:left="426" w:hanging="426"/>
        <w:jc w:val="both"/>
        <w:rPr>
          <w:rFonts w:asciiTheme="minorHAnsi" w:hAnsiTheme="minorHAnsi" w:cs="Arial"/>
          <w:b/>
          <w:sz w:val="22"/>
          <w:szCs w:val="22"/>
        </w:rPr>
      </w:pPr>
      <w:r w:rsidRPr="001B2353">
        <w:rPr>
          <w:rFonts w:asciiTheme="minorHAnsi" w:hAnsiTheme="minorHAnsi" w:cs="Arial"/>
          <w:b/>
          <w:sz w:val="22"/>
          <w:szCs w:val="22"/>
        </w:rPr>
        <w:t>Struktura bezrobotnych wg wieku.</w:t>
      </w:r>
    </w:p>
    <w:p w:rsidR="00D12284" w:rsidRPr="001B2353" w:rsidRDefault="008112C6" w:rsidP="00715BC1">
      <w:pPr>
        <w:spacing w:line="360" w:lineRule="auto"/>
        <w:jc w:val="both"/>
        <w:rPr>
          <w:rFonts w:asciiTheme="minorHAnsi" w:hAnsiTheme="minorHAnsi" w:cs="Arial"/>
          <w:sz w:val="22"/>
          <w:szCs w:val="22"/>
        </w:rPr>
      </w:pPr>
      <w:r w:rsidRPr="001B2353">
        <w:rPr>
          <w:rFonts w:asciiTheme="minorHAnsi" w:hAnsiTheme="minorHAnsi" w:cs="Arial"/>
          <w:sz w:val="22"/>
          <w:szCs w:val="22"/>
        </w:rPr>
        <w:t>W IV kwartale 2013 r. struktura bezrobotnych wg wieku nie zmieniła się w sposób znaczący w porównaniu ze stanem na koniec III kw. 2013 r. Najliczniejszą grupę stanowią bezrobotni w wielu 25 – 34 lata – 26,9% (29,2% na koniec III kw. 2013 r.). Najmniej liczne są grupy 55-59 lat (13,4%) oraz powyżej 60 lat (4,8%).</w:t>
      </w:r>
      <w:r w:rsidR="00D96FD2" w:rsidRPr="001B2353">
        <w:rPr>
          <w:rFonts w:asciiTheme="minorHAnsi" w:hAnsiTheme="minorHAnsi" w:cs="Arial"/>
          <w:sz w:val="22"/>
          <w:szCs w:val="22"/>
        </w:rPr>
        <w:t xml:space="preserve"> </w:t>
      </w:r>
      <w:r w:rsidRPr="001B2353">
        <w:rPr>
          <w:rFonts w:asciiTheme="minorHAnsi" w:hAnsiTheme="minorHAnsi" w:cs="Arial"/>
          <w:sz w:val="22"/>
          <w:szCs w:val="22"/>
        </w:rPr>
        <w:t>Wśród bezrobotnych w niższych przedziałach wiekowych więcej jest zarejestrowanych kobiet niż mężczyzn, relacja ta ulega odwróceniu dla grup wiekowych od 45 lat. Jak wynika z danych GUS aktywność ekonomiczna ludności w tych starszych grupach wiekowych jest nieco niższa wśród kobiet niż mężczyzn, podobnie wskaźnik zatrudnienia jest niższy dla kobiet niż mężczyzn. W 2012 roku współczynnik aktywności zawodowej kobiet w wieku produkcyjnym kształtował się na poziomie 68,3%, natomiast mężczyzn na poziomie 74,7%. Wskaźnik zatrudnienia dla osób z przedziału wiekowego 40 – 49 lat wynosił dla kobiet 74,3%, natomiast dla mężczyzn 81,2%, a w grupie osób powyżej 50 lat dla kobiet 23,6%, natomiast dla mężczyzn 39,7% (na podstawie danych statystycznych GUS z Banku Danych Lokalnych za 2012 r.).</w:t>
      </w:r>
    </w:p>
    <w:p w:rsidR="00D96FD2" w:rsidRPr="001B2353" w:rsidRDefault="00D96FD2" w:rsidP="00715BC1">
      <w:pPr>
        <w:spacing w:line="360" w:lineRule="auto"/>
        <w:jc w:val="both"/>
        <w:rPr>
          <w:rFonts w:asciiTheme="minorHAnsi" w:hAnsiTheme="minorHAnsi" w:cs="Arial"/>
          <w:sz w:val="22"/>
          <w:szCs w:val="22"/>
        </w:rPr>
      </w:pPr>
      <w:r w:rsidRPr="001B2353">
        <w:rPr>
          <w:rFonts w:asciiTheme="minorHAnsi" w:hAnsiTheme="minorHAnsi" w:cs="Arial"/>
          <w:sz w:val="22"/>
          <w:szCs w:val="22"/>
        </w:rPr>
        <w:t>Strukturę bezrobotnych wg wieku w latach przedstawia poniższy wykres:</w:t>
      </w:r>
    </w:p>
    <w:p w:rsidR="00D96FD2" w:rsidRPr="001B2353" w:rsidRDefault="008112C6" w:rsidP="00357BFD">
      <w:pPr>
        <w:spacing w:line="360" w:lineRule="auto"/>
        <w:jc w:val="center"/>
        <w:rPr>
          <w:rFonts w:asciiTheme="minorHAnsi" w:hAnsiTheme="minorHAnsi" w:cs="Arial"/>
          <w:sz w:val="22"/>
          <w:szCs w:val="22"/>
          <w:highlight w:val="yellow"/>
        </w:rPr>
      </w:pPr>
      <w:r w:rsidRPr="001B2353">
        <w:rPr>
          <w:rFonts w:asciiTheme="minorHAnsi" w:hAnsiTheme="minorHAnsi"/>
          <w:noProof/>
          <w:sz w:val="22"/>
          <w:szCs w:val="22"/>
        </w:rPr>
        <w:drawing>
          <wp:inline distT="0" distB="0" distL="0" distR="0" wp14:anchorId="77338A20" wp14:editId="0F46D3D5">
            <wp:extent cx="5802085" cy="2732314"/>
            <wp:effectExtent l="0" t="0" r="27305" b="11430"/>
            <wp:docPr id="12" name="Wykres 1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D96FD2" w:rsidRPr="001B2353" w:rsidRDefault="00223163" w:rsidP="00715BC1">
      <w:pPr>
        <w:spacing w:line="360" w:lineRule="auto"/>
        <w:jc w:val="center"/>
        <w:rPr>
          <w:rFonts w:asciiTheme="minorHAnsi" w:hAnsiTheme="minorHAnsi"/>
          <w:i/>
          <w:sz w:val="22"/>
          <w:szCs w:val="22"/>
        </w:rPr>
      </w:pPr>
      <w:r w:rsidRPr="001B2353">
        <w:rPr>
          <w:rFonts w:asciiTheme="minorHAnsi" w:hAnsiTheme="minorHAnsi"/>
          <w:i/>
          <w:sz w:val="22"/>
          <w:szCs w:val="22"/>
        </w:rPr>
        <w:t xml:space="preserve">Na podstawie Załącznika 1 do sprawozdania </w:t>
      </w:r>
      <w:proofErr w:type="spellStart"/>
      <w:r w:rsidRPr="001B2353">
        <w:rPr>
          <w:rFonts w:asciiTheme="minorHAnsi" w:hAnsiTheme="minorHAnsi"/>
          <w:i/>
          <w:sz w:val="22"/>
          <w:szCs w:val="22"/>
        </w:rPr>
        <w:t>MPiPS</w:t>
      </w:r>
      <w:proofErr w:type="spellEnd"/>
      <w:r w:rsidRPr="001B2353">
        <w:rPr>
          <w:rFonts w:asciiTheme="minorHAnsi" w:hAnsiTheme="minorHAnsi"/>
          <w:i/>
          <w:sz w:val="22"/>
          <w:szCs w:val="22"/>
        </w:rPr>
        <w:t xml:space="preserve"> -01 za IV kwartał  201</w:t>
      </w:r>
      <w:r w:rsidR="008112C6" w:rsidRPr="001B2353">
        <w:rPr>
          <w:rFonts w:asciiTheme="minorHAnsi" w:hAnsiTheme="minorHAnsi"/>
          <w:i/>
          <w:sz w:val="22"/>
          <w:szCs w:val="22"/>
        </w:rPr>
        <w:t>3</w:t>
      </w:r>
      <w:r w:rsidRPr="001B2353">
        <w:rPr>
          <w:rFonts w:asciiTheme="minorHAnsi" w:hAnsiTheme="minorHAnsi"/>
          <w:i/>
          <w:sz w:val="22"/>
          <w:szCs w:val="22"/>
        </w:rPr>
        <w:t xml:space="preserve"> r.</w:t>
      </w:r>
    </w:p>
    <w:p w:rsidR="008112C6" w:rsidRPr="001B2353" w:rsidRDefault="008112C6" w:rsidP="00715BC1">
      <w:pPr>
        <w:spacing w:line="360" w:lineRule="auto"/>
        <w:jc w:val="center"/>
        <w:rPr>
          <w:rFonts w:asciiTheme="minorHAnsi" w:hAnsiTheme="minorHAnsi"/>
          <w:i/>
          <w:sz w:val="22"/>
          <w:szCs w:val="22"/>
        </w:rPr>
      </w:pPr>
    </w:p>
    <w:p w:rsidR="00D96FD2" w:rsidRPr="001B2353" w:rsidRDefault="00D96FD2" w:rsidP="00715BC1">
      <w:pPr>
        <w:numPr>
          <w:ilvl w:val="0"/>
          <w:numId w:val="11"/>
        </w:numPr>
        <w:tabs>
          <w:tab w:val="num" w:pos="426"/>
        </w:tabs>
        <w:spacing w:line="360" w:lineRule="auto"/>
        <w:ind w:left="426" w:hanging="426"/>
        <w:jc w:val="both"/>
        <w:rPr>
          <w:rFonts w:asciiTheme="minorHAnsi" w:hAnsiTheme="minorHAnsi" w:cs="Arial"/>
          <w:b/>
          <w:sz w:val="22"/>
          <w:szCs w:val="22"/>
        </w:rPr>
      </w:pPr>
      <w:r w:rsidRPr="001B2353">
        <w:rPr>
          <w:rFonts w:asciiTheme="minorHAnsi" w:hAnsiTheme="minorHAnsi" w:cs="Arial"/>
          <w:b/>
          <w:sz w:val="22"/>
          <w:szCs w:val="22"/>
        </w:rPr>
        <w:t>Struktura bezrobotnych wg poziomu wykształcenia.</w:t>
      </w:r>
    </w:p>
    <w:p w:rsidR="008112C6" w:rsidRPr="001B2353" w:rsidRDefault="008112C6" w:rsidP="008112C6">
      <w:pPr>
        <w:spacing w:line="360" w:lineRule="auto"/>
        <w:ind w:firstLine="708"/>
        <w:jc w:val="both"/>
        <w:rPr>
          <w:rFonts w:asciiTheme="minorHAnsi" w:hAnsiTheme="minorHAnsi" w:cs="Arial"/>
          <w:sz w:val="22"/>
          <w:szCs w:val="22"/>
        </w:rPr>
      </w:pPr>
      <w:r w:rsidRPr="001B2353">
        <w:rPr>
          <w:rFonts w:asciiTheme="minorHAnsi" w:hAnsiTheme="minorHAnsi" w:cs="Arial"/>
          <w:sz w:val="22"/>
          <w:szCs w:val="22"/>
        </w:rPr>
        <w:t xml:space="preserve">Struktura bezrobotnych wg wykształcenia również nie uległa większym zmianom w porównaniu do stanu na koniec września 2013 roku. Najniższy odsetek bezrobotnych stanowiły osoby z wykształceniem ogólnokształcącym (9,6% na koniec grudnia,  9,9% na koniec III kw. 2013 r.), co wiąże się z kontynuacją kształcenia po ukończeniu liceum ogólnokształcącego przez większość absolwentów tych szkół oraz wykształceniem wyższym (10,8% na koniec grudnia 2013 r., 10,9% na koniec III kw. 2013 r.). Najwyższy odsetek stanowią osoby z wykształceniem gimnazjalnym i niższym – 29,6% ogółu bezrobotnych (na koniec III kw. 2013 r. – 29,2%). </w:t>
      </w:r>
    </w:p>
    <w:p w:rsidR="00E14C40" w:rsidRPr="001B2353" w:rsidRDefault="00D96FD2" w:rsidP="00715BC1">
      <w:pPr>
        <w:spacing w:line="360" w:lineRule="auto"/>
        <w:jc w:val="both"/>
        <w:rPr>
          <w:rFonts w:asciiTheme="minorHAnsi" w:hAnsiTheme="minorHAnsi" w:cs="Arial"/>
          <w:sz w:val="22"/>
          <w:szCs w:val="22"/>
        </w:rPr>
      </w:pPr>
      <w:r w:rsidRPr="001B2353">
        <w:rPr>
          <w:rFonts w:asciiTheme="minorHAnsi" w:hAnsiTheme="minorHAnsi" w:cs="Arial"/>
          <w:sz w:val="22"/>
          <w:szCs w:val="22"/>
        </w:rPr>
        <w:t>Strukturę bezrobotnych wg wykształcenia przedstawia poniższy wykres:</w:t>
      </w:r>
      <w:r w:rsidR="00E14C40" w:rsidRPr="001B2353">
        <w:rPr>
          <w:rFonts w:asciiTheme="minorHAnsi" w:hAnsiTheme="minorHAnsi" w:cs="Arial"/>
          <w:sz w:val="22"/>
          <w:szCs w:val="22"/>
        </w:rPr>
        <w:t xml:space="preserve"> </w:t>
      </w:r>
    </w:p>
    <w:p w:rsidR="00E14C40" w:rsidRPr="001B2353" w:rsidRDefault="00E14C40" w:rsidP="00E14C40">
      <w:pPr>
        <w:spacing w:line="360" w:lineRule="auto"/>
        <w:jc w:val="center"/>
        <w:rPr>
          <w:rFonts w:asciiTheme="minorHAnsi" w:hAnsiTheme="minorHAnsi" w:cs="Arial"/>
          <w:sz w:val="22"/>
          <w:szCs w:val="22"/>
        </w:rPr>
      </w:pPr>
      <w:r w:rsidRPr="001B2353">
        <w:rPr>
          <w:rFonts w:asciiTheme="minorHAnsi" w:hAnsiTheme="minorHAnsi"/>
          <w:noProof/>
          <w:sz w:val="22"/>
          <w:szCs w:val="22"/>
        </w:rPr>
        <w:drawing>
          <wp:inline distT="0" distB="0" distL="0" distR="0" wp14:anchorId="2B393C91" wp14:editId="4DD54444">
            <wp:extent cx="5587521" cy="2966085"/>
            <wp:effectExtent l="0" t="0" r="0" b="0"/>
            <wp:docPr id="15" name="Wykres 1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E14C40" w:rsidRPr="001B2353" w:rsidRDefault="00E14C40" w:rsidP="00E14C40">
      <w:pPr>
        <w:spacing w:line="360" w:lineRule="auto"/>
        <w:jc w:val="center"/>
        <w:rPr>
          <w:rFonts w:asciiTheme="minorHAnsi" w:hAnsiTheme="minorHAnsi" w:cs="Arial"/>
          <w:i/>
          <w:sz w:val="22"/>
          <w:szCs w:val="22"/>
        </w:rPr>
      </w:pPr>
      <w:r w:rsidRPr="001B2353">
        <w:rPr>
          <w:rFonts w:asciiTheme="minorHAnsi" w:hAnsiTheme="minorHAnsi" w:cs="Arial"/>
          <w:i/>
          <w:sz w:val="22"/>
          <w:szCs w:val="22"/>
        </w:rPr>
        <w:t xml:space="preserve">Na podstawie Załącznika 1 do sprawozdania </w:t>
      </w:r>
      <w:proofErr w:type="spellStart"/>
      <w:r w:rsidRPr="001B2353">
        <w:rPr>
          <w:rFonts w:asciiTheme="minorHAnsi" w:hAnsiTheme="minorHAnsi" w:cs="Arial"/>
          <w:i/>
          <w:sz w:val="22"/>
          <w:szCs w:val="22"/>
        </w:rPr>
        <w:t>MPiPS</w:t>
      </w:r>
      <w:proofErr w:type="spellEnd"/>
      <w:r w:rsidRPr="001B2353">
        <w:rPr>
          <w:rFonts w:asciiTheme="minorHAnsi" w:hAnsiTheme="minorHAnsi" w:cs="Arial"/>
          <w:i/>
          <w:sz w:val="22"/>
          <w:szCs w:val="22"/>
        </w:rPr>
        <w:t xml:space="preserve"> - 01 za IV kwartał 2013 r.</w:t>
      </w:r>
    </w:p>
    <w:p w:rsidR="00E14C40" w:rsidRPr="001B2353" w:rsidRDefault="00E14C40" w:rsidP="00FB4E54">
      <w:pPr>
        <w:spacing w:line="360" w:lineRule="auto"/>
        <w:jc w:val="both"/>
        <w:rPr>
          <w:rFonts w:asciiTheme="minorHAnsi" w:hAnsiTheme="minorHAnsi" w:cs="Arial"/>
          <w:sz w:val="22"/>
          <w:szCs w:val="22"/>
        </w:rPr>
      </w:pPr>
      <w:r w:rsidRPr="001B2353">
        <w:rPr>
          <w:rFonts w:asciiTheme="minorHAnsi" w:hAnsiTheme="minorHAnsi" w:cs="Arial"/>
          <w:sz w:val="22"/>
          <w:szCs w:val="22"/>
        </w:rPr>
        <w:t>Bezrobotne kobiety są znacznie lepiej wykształcone niż mężczyźni, stanowią większość wśród grup bezrobotnych z wykształceniem od średniego ogólnokształcącego do wyższego. Natomiast wśród grup osób z wykształceniem zasadniczym zawodowym oraz gimnazjalnym i poniżej występuje znaczna przewaga mężczyzn.</w:t>
      </w:r>
    </w:p>
    <w:p w:rsidR="00E14C40" w:rsidRPr="001B2353" w:rsidRDefault="00E14C40" w:rsidP="00715BC1">
      <w:pPr>
        <w:spacing w:line="360" w:lineRule="auto"/>
        <w:jc w:val="center"/>
        <w:rPr>
          <w:rFonts w:asciiTheme="minorHAnsi" w:hAnsiTheme="minorHAnsi" w:cs="Arial"/>
          <w:i/>
          <w:sz w:val="22"/>
          <w:szCs w:val="22"/>
        </w:rPr>
      </w:pPr>
    </w:p>
    <w:p w:rsidR="00D96FD2" w:rsidRPr="001B2353" w:rsidRDefault="00D96FD2" w:rsidP="00715BC1">
      <w:pPr>
        <w:numPr>
          <w:ilvl w:val="0"/>
          <w:numId w:val="11"/>
        </w:numPr>
        <w:tabs>
          <w:tab w:val="num" w:pos="426"/>
        </w:tabs>
        <w:spacing w:line="360" w:lineRule="auto"/>
        <w:ind w:left="426" w:hanging="426"/>
        <w:jc w:val="both"/>
        <w:rPr>
          <w:rFonts w:asciiTheme="minorHAnsi" w:hAnsiTheme="minorHAnsi" w:cs="Arial"/>
          <w:b/>
          <w:sz w:val="22"/>
          <w:szCs w:val="22"/>
        </w:rPr>
      </w:pPr>
      <w:r w:rsidRPr="001B2353">
        <w:rPr>
          <w:rFonts w:asciiTheme="minorHAnsi" w:hAnsiTheme="minorHAnsi" w:cs="Arial"/>
          <w:b/>
          <w:sz w:val="22"/>
          <w:szCs w:val="22"/>
        </w:rPr>
        <w:t>Struktura bezrobotnych wg stażu pracy.</w:t>
      </w:r>
    </w:p>
    <w:p w:rsidR="00E14C40" w:rsidRPr="001B2353" w:rsidRDefault="00E14C40" w:rsidP="00E14C40">
      <w:pPr>
        <w:spacing w:line="360" w:lineRule="auto"/>
        <w:ind w:firstLine="708"/>
        <w:jc w:val="both"/>
        <w:rPr>
          <w:rFonts w:asciiTheme="minorHAnsi" w:hAnsiTheme="minorHAnsi" w:cs="Arial"/>
          <w:sz w:val="22"/>
          <w:szCs w:val="22"/>
        </w:rPr>
      </w:pPr>
      <w:r w:rsidRPr="001B2353">
        <w:rPr>
          <w:rFonts w:asciiTheme="minorHAnsi" w:hAnsiTheme="minorHAnsi" w:cs="Arial"/>
          <w:sz w:val="22"/>
          <w:szCs w:val="22"/>
        </w:rPr>
        <w:t xml:space="preserve">Z analizy struktury bezrobotnych wg stażu pracy wynika, że najliczniejszą grupę stanowią osoby legitymujące się stażem pracy od roku do 5 lat. Odsetek tej grupy osób na koniec IV kwartału 2013 r. wynosił 22,6% (22,8% na koniec III kw. 2013 r.). Najmniejszy odsetek stanowiły osoby o stażu pracy powyżej 30 lat - 5,0% (4,9% na koniec III kw. 2013 r.). Znaczący jest udział bezrobotnych bez stażu wynoszący 13,1% (13,6% na koniec III kw. 2013 r.). Wśród osób legitymujących się stażem pracy do 10 lat lub brakiem stażu pracy występuje przewaga kobiet. Jest to związane między innymi z niechęcią pracodawców do zatrudniania kobiet wychowujących małe dzieci lub potencjalnie mogących zostać matkami w najbliższej </w:t>
      </w:r>
      <w:r w:rsidRPr="001B2353">
        <w:rPr>
          <w:rFonts w:asciiTheme="minorHAnsi" w:hAnsiTheme="minorHAnsi" w:cs="Arial"/>
          <w:sz w:val="22"/>
          <w:szCs w:val="22"/>
        </w:rPr>
        <w:lastRenderedPageBreak/>
        <w:t>przyszłości. Utrudnione jest także wejście na rynek pracy lub powrotu do aktywności zawodowej po przerwie związanej z macierzyństwem. W grupach o stażu powyżej 10 lat  przeważają mężczyźni. Może się to wiązać z większą determinacją kobiet w utrzymaniu zatrudnienia, albo rezygnacją części z nich z aktywności zawodowej i poświęceniu się obowiązkom rodzinnym, przy czym oba scenariusze mogą występować jednocześnie.</w:t>
      </w:r>
    </w:p>
    <w:p w:rsidR="00E14C40" w:rsidRPr="001B2353" w:rsidRDefault="00E14C40" w:rsidP="00715BC1">
      <w:pPr>
        <w:spacing w:line="360" w:lineRule="auto"/>
        <w:jc w:val="both"/>
        <w:rPr>
          <w:rFonts w:asciiTheme="minorHAnsi" w:hAnsiTheme="minorHAnsi" w:cs="Arial"/>
          <w:sz w:val="22"/>
          <w:szCs w:val="22"/>
        </w:rPr>
      </w:pPr>
    </w:p>
    <w:p w:rsidR="00D96FD2" w:rsidRPr="001B2353" w:rsidRDefault="00D96FD2" w:rsidP="00715BC1">
      <w:pPr>
        <w:spacing w:line="360" w:lineRule="auto"/>
        <w:jc w:val="both"/>
        <w:rPr>
          <w:rFonts w:asciiTheme="minorHAnsi" w:hAnsiTheme="minorHAnsi" w:cs="Arial"/>
          <w:i/>
          <w:sz w:val="22"/>
          <w:szCs w:val="22"/>
        </w:rPr>
      </w:pPr>
      <w:r w:rsidRPr="001B2353">
        <w:rPr>
          <w:rFonts w:asciiTheme="minorHAnsi" w:hAnsiTheme="minorHAnsi" w:cs="Arial"/>
          <w:sz w:val="22"/>
          <w:szCs w:val="22"/>
        </w:rPr>
        <w:t>Strukturę bezrobotnych wg stażu pracy w latach przedstawia poniższy wykres:</w:t>
      </w:r>
    </w:p>
    <w:p w:rsidR="00D96FD2" w:rsidRPr="001B2353" w:rsidRDefault="001908E6" w:rsidP="00357BFD">
      <w:pPr>
        <w:spacing w:line="360" w:lineRule="auto"/>
        <w:jc w:val="center"/>
        <w:rPr>
          <w:rFonts w:asciiTheme="minorHAnsi" w:hAnsiTheme="minorHAnsi" w:cs="Arial"/>
          <w:noProof/>
          <w:sz w:val="22"/>
          <w:szCs w:val="22"/>
        </w:rPr>
      </w:pPr>
      <w:r w:rsidRPr="001B2353">
        <w:rPr>
          <w:rFonts w:asciiTheme="minorHAnsi" w:hAnsiTheme="minorHAnsi"/>
          <w:noProof/>
          <w:sz w:val="22"/>
          <w:szCs w:val="22"/>
        </w:rPr>
        <w:drawing>
          <wp:inline distT="0" distB="0" distL="0" distR="0" wp14:anchorId="09A8CA62" wp14:editId="2B68D7BC">
            <wp:extent cx="5509272" cy="3657600"/>
            <wp:effectExtent l="0" t="0" r="0" b="0"/>
            <wp:docPr id="16" name="Wykres 1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2F1151" w:rsidRPr="001B2353" w:rsidRDefault="00223163" w:rsidP="00715BC1">
      <w:pPr>
        <w:spacing w:line="360" w:lineRule="auto"/>
        <w:ind w:firstLine="343"/>
        <w:jc w:val="center"/>
        <w:rPr>
          <w:rFonts w:asciiTheme="minorHAnsi" w:hAnsiTheme="minorHAnsi" w:cs="Arial"/>
          <w:i/>
          <w:sz w:val="22"/>
          <w:szCs w:val="22"/>
        </w:rPr>
      </w:pPr>
      <w:r w:rsidRPr="001B2353">
        <w:rPr>
          <w:rFonts w:asciiTheme="minorHAnsi" w:hAnsiTheme="minorHAnsi" w:cs="Arial"/>
          <w:i/>
          <w:sz w:val="22"/>
          <w:szCs w:val="22"/>
        </w:rPr>
        <w:t xml:space="preserve">Na podstawie Załącznika 1 do sprawozdania </w:t>
      </w:r>
      <w:proofErr w:type="spellStart"/>
      <w:r w:rsidRPr="001B2353">
        <w:rPr>
          <w:rFonts w:asciiTheme="minorHAnsi" w:hAnsiTheme="minorHAnsi" w:cs="Arial"/>
          <w:i/>
          <w:sz w:val="22"/>
          <w:szCs w:val="22"/>
        </w:rPr>
        <w:t>MPiPS</w:t>
      </w:r>
      <w:proofErr w:type="spellEnd"/>
      <w:r w:rsidRPr="001B2353">
        <w:rPr>
          <w:rFonts w:asciiTheme="minorHAnsi" w:hAnsiTheme="minorHAnsi" w:cs="Arial"/>
          <w:i/>
          <w:sz w:val="22"/>
          <w:szCs w:val="22"/>
        </w:rPr>
        <w:t xml:space="preserve"> -01 za IV kwartał 201</w:t>
      </w:r>
      <w:r w:rsidR="001908E6" w:rsidRPr="001B2353">
        <w:rPr>
          <w:rFonts w:asciiTheme="minorHAnsi" w:hAnsiTheme="minorHAnsi" w:cs="Arial"/>
          <w:i/>
          <w:sz w:val="22"/>
          <w:szCs w:val="22"/>
        </w:rPr>
        <w:t>3</w:t>
      </w:r>
      <w:r w:rsidRPr="001B2353">
        <w:rPr>
          <w:rFonts w:asciiTheme="minorHAnsi" w:hAnsiTheme="minorHAnsi" w:cs="Arial"/>
          <w:i/>
          <w:sz w:val="22"/>
          <w:szCs w:val="22"/>
        </w:rPr>
        <w:t xml:space="preserve"> r.</w:t>
      </w:r>
    </w:p>
    <w:p w:rsidR="00960826" w:rsidRPr="001B2353" w:rsidRDefault="00BE71B8" w:rsidP="00357BFD">
      <w:pPr>
        <w:spacing w:line="360" w:lineRule="auto"/>
        <w:rPr>
          <w:rFonts w:asciiTheme="minorHAnsi" w:hAnsiTheme="minorHAnsi" w:cs="Arial"/>
          <w:b/>
          <w:sz w:val="22"/>
          <w:szCs w:val="22"/>
        </w:rPr>
      </w:pPr>
      <w:r w:rsidRPr="001B2353">
        <w:rPr>
          <w:rFonts w:asciiTheme="minorHAnsi" w:hAnsiTheme="minorHAnsi" w:cs="Arial"/>
          <w:b/>
          <w:sz w:val="22"/>
          <w:szCs w:val="22"/>
        </w:rPr>
        <w:t>Osoby będące w szczególnej sytuacji na rynku pracy</w:t>
      </w:r>
    </w:p>
    <w:p w:rsidR="008F440C" w:rsidRPr="001B2353" w:rsidRDefault="001B5049" w:rsidP="008F440C">
      <w:pPr>
        <w:spacing w:line="360" w:lineRule="auto"/>
        <w:ind w:left="66"/>
        <w:jc w:val="both"/>
        <w:rPr>
          <w:rFonts w:asciiTheme="minorHAnsi" w:hAnsiTheme="minorHAnsi" w:cs="Arial"/>
          <w:sz w:val="22"/>
          <w:szCs w:val="22"/>
        </w:rPr>
      </w:pPr>
      <w:r w:rsidRPr="001B2353">
        <w:rPr>
          <w:rFonts w:asciiTheme="minorHAnsi" w:hAnsiTheme="minorHAnsi" w:cs="Arial"/>
          <w:sz w:val="22"/>
          <w:szCs w:val="22"/>
        </w:rPr>
        <w:tab/>
      </w:r>
      <w:r w:rsidR="008F440C" w:rsidRPr="001B2353">
        <w:rPr>
          <w:rFonts w:asciiTheme="minorHAnsi" w:hAnsiTheme="minorHAnsi" w:cs="Arial"/>
          <w:sz w:val="22"/>
          <w:szCs w:val="22"/>
        </w:rPr>
        <w:t xml:space="preserve">Liczba osób znajdujących się w szczególnej sytuacji na rynku pracy zmniejszyła się w 2013 r. o 2207 osób (w roku </w:t>
      </w:r>
      <w:r w:rsidR="00736DE3" w:rsidRPr="001B2353">
        <w:rPr>
          <w:rFonts w:asciiTheme="minorHAnsi" w:hAnsiTheme="minorHAnsi" w:cs="Arial"/>
          <w:sz w:val="22"/>
          <w:szCs w:val="22"/>
        </w:rPr>
        <w:t xml:space="preserve">poprzednim </w:t>
      </w:r>
      <w:r w:rsidR="008F440C" w:rsidRPr="001B2353">
        <w:rPr>
          <w:rFonts w:asciiTheme="minorHAnsi" w:hAnsiTheme="minorHAnsi" w:cs="Arial"/>
          <w:sz w:val="22"/>
          <w:szCs w:val="22"/>
        </w:rPr>
        <w:t xml:space="preserve">wzrosła o 11763 osoby). Odsetek bezrobotnych w szczególnej sytuacji na rynku pracy zwiększył się w porównaniu do grudnia 2012 r. o 0,8 punktu procentowego i wynosił 91,0% </w:t>
      </w:r>
      <w:r w:rsidR="008F440C" w:rsidRPr="001B2353">
        <w:rPr>
          <w:rFonts w:asciiTheme="minorHAnsi" w:hAnsiTheme="minorHAnsi" w:cs="Arial"/>
          <w:iCs/>
          <w:sz w:val="22"/>
          <w:szCs w:val="22"/>
        </w:rPr>
        <w:t>(</w:t>
      </w:r>
      <w:r w:rsidR="008F440C" w:rsidRPr="001B2353">
        <w:rPr>
          <w:rFonts w:asciiTheme="minorHAnsi" w:hAnsiTheme="minorHAnsi" w:cs="Arial"/>
          <w:sz w:val="22"/>
          <w:szCs w:val="22"/>
        </w:rPr>
        <w:t>na koniec grudnia 2012 r. kształtował się na poziomie 90,2 %</w:t>
      </w:r>
      <w:r w:rsidR="008F440C" w:rsidRPr="001B2353">
        <w:rPr>
          <w:rFonts w:asciiTheme="minorHAnsi" w:hAnsiTheme="minorHAnsi" w:cs="Arial"/>
          <w:iCs/>
          <w:sz w:val="22"/>
          <w:szCs w:val="22"/>
        </w:rPr>
        <w:t xml:space="preserve">). </w:t>
      </w:r>
      <w:r w:rsidR="008F440C" w:rsidRPr="001B2353">
        <w:rPr>
          <w:rFonts w:asciiTheme="minorHAnsi" w:hAnsiTheme="minorHAnsi" w:cs="Arial"/>
          <w:sz w:val="22"/>
          <w:szCs w:val="22"/>
        </w:rPr>
        <w:t>Zmiany w poszczególnych grupach osób znajdujących się w szczególnej sytuacji na rynku pracy kształtowały się następująco:</w:t>
      </w:r>
    </w:p>
    <w:p w:rsidR="008F440C" w:rsidRPr="001B2353" w:rsidRDefault="008F440C" w:rsidP="008F440C">
      <w:pPr>
        <w:numPr>
          <w:ilvl w:val="0"/>
          <w:numId w:val="28"/>
        </w:numPr>
        <w:spacing w:line="360" w:lineRule="auto"/>
        <w:jc w:val="both"/>
        <w:rPr>
          <w:rFonts w:asciiTheme="minorHAnsi" w:hAnsiTheme="minorHAnsi" w:cs="Arial"/>
          <w:iCs/>
          <w:sz w:val="22"/>
          <w:szCs w:val="22"/>
        </w:rPr>
      </w:pPr>
      <w:r w:rsidRPr="001B2353">
        <w:rPr>
          <w:rFonts w:asciiTheme="minorHAnsi" w:hAnsiTheme="minorHAnsi" w:cs="Arial"/>
          <w:iCs/>
          <w:sz w:val="22"/>
          <w:szCs w:val="22"/>
        </w:rPr>
        <w:t xml:space="preserve">O 2816 osób zmniejszyła się liczba bezrobotnych bez wykształcenia średniego. </w:t>
      </w:r>
      <w:r w:rsidRPr="001B2353">
        <w:rPr>
          <w:rFonts w:asciiTheme="minorHAnsi" w:hAnsiTheme="minorHAnsi" w:cs="Arial"/>
          <w:sz w:val="22"/>
          <w:szCs w:val="22"/>
        </w:rPr>
        <w:t xml:space="preserve">Dla porównania należy dodać, że w okresie styczeń – grudzień w roku 2012 liczba bezrobotnych w tej grupie zwiększyła się o 7882 osoby. Odsetek bezrobotnych </w:t>
      </w:r>
      <w:r w:rsidRPr="001B2353">
        <w:rPr>
          <w:rFonts w:asciiTheme="minorHAnsi" w:hAnsiTheme="minorHAnsi" w:cs="Arial"/>
          <w:iCs/>
          <w:sz w:val="22"/>
          <w:szCs w:val="22"/>
        </w:rPr>
        <w:t>bez wykształcenia średniego</w:t>
      </w:r>
      <w:r w:rsidRPr="001B2353">
        <w:rPr>
          <w:rFonts w:asciiTheme="minorHAnsi" w:hAnsiTheme="minorHAnsi" w:cs="Arial"/>
          <w:sz w:val="22"/>
          <w:szCs w:val="22"/>
        </w:rPr>
        <w:t xml:space="preserve"> na koniec 2013 r. wynosił  58,5% (na koniec grudnia 2012 r. kształtował się na poziomie 58,8 %</w:t>
      </w:r>
      <w:r w:rsidRPr="001B2353">
        <w:rPr>
          <w:rFonts w:asciiTheme="minorHAnsi" w:hAnsiTheme="minorHAnsi" w:cs="Arial"/>
          <w:iCs/>
          <w:sz w:val="22"/>
          <w:szCs w:val="22"/>
        </w:rPr>
        <w:t xml:space="preserve">). </w:t>
      </w:r>
    </w:p>
    <w:p w:rsidR="008F440C" w:rsidRPr="001B2353" w:rsidRDefault="008F440C" w:rsidP="008F440C">
      <w:pPr>
        <w:numPr>
          <w:ilvl w:val="0"/>
          <w:numId w:val="28"/>
        </w:numPr>
        <w:spacing w:line="360" w:lineRule="auto"/>
        <w:jc w:val="both"/>
        <w:rPr>
          <w:rFonts w:asciiTheme="minorHAnsi" w:hAnsiTheme="minorHAnsi" w:cs="Arial"/>
          <w:b/>
          <w:iCs/>
          <w:sz w:val="22"/>
          <w:szCs w:val="22"/>
        </w:rPr>
      </w:pPr>
      <w:r w:rsidRPr="001B2353">
        <w:rPr>
          <w:rFonts w:asciiTheme="minorHAnsi" w:hAnsiTheme="minorHAnsi" w:cs="Arial"/>
          <w:sz w:val="22"/>
          <w:szCs w:val="22"/>
        </w:rPr>
        <w:t>Zmniejszyła się liczba bezrobotnych osób w wieku do 25 lat. W 2013 roku populacja tej grupy zmalała o 2350 osób</w:t>
      </w:r>
      <w:r w:rsidR="00BC65C1" w:rsidRPr="001B2353">
        <w:rPr>
          <w:rFonts w:asciiTheme="minorHAnsi" w:hAnsiTheme="minorHAnsi" w:cs="Arial"/>
          <w:sz w:val="22"/>
          <w:szCs w:val="22"/>
        </w:rPr>
        <w:t xml:space="preserve"> natomiast</w:t>
      </w:r>
      <w:r w:rsidRPr="001B2353">
        <w:rPr>
          <w:rFonts w:asciiTheme="minorHAnsi" w:hAnsiTheme="minorHAnsi" w:cs="Arial"/>
          <w:sz w:val="22"/>
          <w:szCs w:val="22"/>
        </w:rPr>
        <w:t xml:space="preserve"> w okresie styczeń – grudzień w roku 2012 liczba bezrobotnych w wieku do 25 lat wzrosła o 1486 osób. Odsetek bezrobotnych do 25 roku życia na</w:t>
      </w:r>
      <w:r w:rsidR="00C7155E" w:rsidRPr="001B2353">
        <w:rPr>
          <w:rFonts w:asciiTheme="minorHAnsi" w:hAnsiTheme="minorHAnsi" w:cs="Arial"/>
          <w:sz w:val="22"/>
          <w:szCs w:val="22"/>
        </w:rPr>
        <w:t xml:space="preserve"> koniec grudnia 2013 r. wynosił</w:t>
      </w:r>
      <w:r w:rsidRPr="001B2353">
        <w:rPr>
          <w:rFonts w:asciiTheme="minorHAnsi" w:hAnsiTheme="minorHAnsi" w:cs="Arial"/>
          <w:sz w:val="22"/>
          <w:szCs w:val="22"/>
        </w:rPr>
        <w:t xml:space="preserve"> 15,0% (na koniec grudnia 2012 r. kształtował się na poziomie 16,2</w:t>
      </w:r>
      <w:r w:rsidRPr="001B2353">
        <w:rPr>
          <w:rFonts w:asciiTheme="minorHAnsi" w:hAnsiTheme="minorHAnsi" w:cs="Arial"/>
          <w:iCs/>
          <w:sz w:val="22"/>
          <w:szCs w:val="22"/>
        </w:rPr>
        <w:t xml:space="preserve">%). </w:t>
      </w:r>
    </w:p>
    <w:p w:rsidR="008F440C" w:rsidRPr="001B2353" w:rsidRDefault="008F440C" w:rsidP="008F440C">
      <w:pPr>
        <w:numPr>
          <w:ilvl w:val="0"/>
          <w:numId w:val="28"/>
        </w:numPr>
        <w:spacing w:line="360" w:lineRule="auto"/>
        <w:jc w:val="both"/>
        <w:rPr>
          <w:rFonts w:asciiTheme="minorHAnsi" w:hAnsiTheme="minorHAnsi" w:cs="Arial"/>
          <w:iCs/>
          <w:sz w:val="22"/>
          <w:szCs w:val="22"/>
        </w:rPr>
      </w:pPr>
      <w:r w:rsidRPr="001B2353">
        <w:rPr>
          <w:rFonts w:asciiTheme="minorHAnsi" w:hAnsiTheme="minorHAnsi" w:cs="Arial"/>
          <w:sz w:val="22"/>
          <w:szCs w:val="22"/>
        </w:rPr>
        <w:lastRenderedPageBreak/>
        <w:t xml:space="preserve">Zmniejszyła się o 1299 osób w porównaniu do stanu na koniec grudnia 2012 r. liczba bezrobotnych bez doświadczenia zawodowego. </w:t>
      </w:r>
      <w:r w:rsidR="00BC65C1" w:rsidRPr="001B2353">
        <w:rPr>
          <w:rFonts w:asciiTheme="minorHAnsi" w:hAnsiTheme="minorHAnsi" w:cs="Arial"/>
          <w:sz w:val="22"/>
          <w:szCs w:val="22"/>
        </w:rPr>
        <w:t>W</w:t>
      </w:r>
      <w:r w:rsidRPr="001B2353">
        <w:rPr>
          <w:rFonts w:asciiTheme="minorHAnsi" w:hAnsiTheme="minorHAnsi" w:cs="Arial"/>
          <w:sz w:val="22"/>
          <w:szCs w:val="22"/>
        </w:rPr>
        <w:t>  roku 2012 liczba bezrobotnych w tej grupie wzrosła o 727 osób. Odsetek bezrobotnych bez doświadczenia zawodowego na</w:t>
      </w:r>
      <w:r w:rsidR="00C7155E" w:rsidRPr="001B2353">
        <w:rPr>
          <w:rFonts w:asciiTheme="minorHAnsi" w:hAnsiTheme="minorHAnsi" w:cs="Arial"/>
          <w:sz w:val="22"/>
          <w:szCs w:val="22"/>
        </w:rPr>
        <w:t xml:space="preserve"> koniec grudnia 2013 r. wynosił</w:t>
      </w:r>
      <w:r w:rsidRPr="001B2353">
        <w:rPr>
          <w:rFonts w:asciiTheme="minorHAnsi" w:hAnsiTheme="minorHAnsi" w:cs="Arial"/>
          <w:sz w:val="22"/>
          <w:szCs w:val="22"/>
        </w:rPr>
        <w:t xml:space="preserve"> 18,3% (na koniec grudnia 2012 r. kształtował się na poziomie 18,7 %</w:t>
      </w:r>
      <w:r w:rsidRPr="001B2353">
        <w:rPr>
          <w:rFonts w:asciiTheme="minorHAnsi" w:hAnsiTheme="minorHAnsi" w:cs="Arial"/>
          <w:iCs/>
          <w:sz w:val="22"/>
          <w:szCs w:val="22"/>
        </w:rPr>
        <w:t xml:space="preserve">). </w:t>
      </w:r>
    </w:p>
    <w:p w:rsidR="008F440C" w:rsidRPr="001B2353" w:rsidRDefault="008F440C" w:rsidP="008F440C">
      <w:pPr>
        <w:numPr>
          <w:ilvl w:val="0"/>
          <w:numId w:val="28"/>
        </w:numPr>
        <w:spacing w:line="360" w:lineRule="auto"/>
        <w:jc w:val="both"/>
        <w:rPr>
          <w:rFonts w:asciiTheme="minorHAnsi" w:hAnsiTheme="minorHAnsi" w:cs="Arial"/>
          <w:iCs/>
          <w:sz w:val="22"/>
          <w:szCs w:val="22"/>
        </w:rPr>
      </w:pPr>
      <w:r w:rsidRPr="001B2353">
        <w:rPr>
          <w:rFonts w:asciiTheme="minorHAnsi" w:hAnsiTheme="minorHAnsi" w:cs="Arial"/>
          <w:sz w:val="22"/>
          <w:szCs w:val="22"/>
        </w:rPr>
        <w:t>W okresie dwunastu miesięcy 2013 roku populacja bezrobotnych bez kwalifikacji zawodowych zmniejszyła się o 231 osób. W okresie styczeń – grudzień w roku 2012 liczba bezrobotnych w tej grupie wzrosła o 2966 osób. Odsetek bezrobotnych bez kwalifikacji zawod</w:t>
      </w:r>
      <w:r w:rsidR="00C7155E" w:rsidRPr="001B2353">
        <w:rPr>
          <w:rFonts w:asciiTheme="minorHAnsi" w:hAnsiTheme="minorHAnsi" w:cs="Arial"/>
          <w:sz w:val="22"/>
          <w:szCs w:val="22"/>
        </w:rPr>
        <w:t>owych na koniec 2013 r. wynosił</w:t>
      </w:r>
      <w:r w:rsidRPr="001B2353">
        <w:rPr>
          <w:rFonts w:asciiTheme="minorHAnsi" w:hAnsiTheme="minorHAnsi" w:cs="Arial"/>
          <w:sz w:val="22"/>
          <w:szCs w:val="22"/>
        </w:rPr>
        <w:t xml:space="preserve"> 31,3% (na koniec grudnia 2012 r. kształtował się na poziomie 30,7 %</w:t>
      </w:r>
      <w:r w:rsidRPr="001B2353">
        <w:rPr>
          <w:rFonts w:asciiTheme="minorHAnsi" w:hAnsiTheme="minorHAnsi" w:cs="Arial"/>
          <w:iCs/>
          <w:sz w:val="22"/>
          <w:szCs w:val="22"/>
        </w:rPr>
        <w:t xml:space="preserve">). </w:t>
      </w:r>
    </w:p>
    <w:p w:rsidR="008F440C" w:rsidRPr="001B2353" w:rsidRDefault="008F440C" w:rsidP="008F440C">
      <w:pPr>
        <w:numPr>
          <w:ilvl w:val="0"/>
          <w:numId w:val="28"/>
        </w:numPr>
        <w:spacing w:line="360" w:lineRule="auto"/>
        <w:jc w:val="both"/>
        <w:rPr>
          <w:rFonts w:asciiTheme="minorHAnsi" w:hAnsiTheme="minorHAnsi" w:cs="Arial"/>
          <w:sz w:val="22"/>
          <w:szCs w:val="22"/>
        </w:rPr>
      </w:pPr>
      <w:r w:rsidRPr="001B2353">
        <w:rPr>
          <w:rFonts w:asciiTheme="minorHAnsi" w:hAnsiTheme="minorHAnsi" w:cs="Arial"/>
          <w:sz w:val="22"/>
          <w:szCs w:val="22"/>
        </w:rPr>
        <w:t>W omawianym okresie liczba bezrobotnych niepełnosprawnych wzrosła o 102 osoby. W takim samym okresie w roku 2012 odnotowano wzrost o 795 osób. Odsetek bezrobotnych niepełnosprawnych na koniec grudnia 2013 r. wynosił  7,3%  (na koniec grudnia 2012 r. udział niepełnosprawnych kształtował się na poziomie 7,0 %</w:t>
      </w:r>
      <w:r w:rsidRPr="001B2353">
        <w:rPr>
          <w:rFonts w:asciiTheme="minorHAnsi" w:hAnsiTheme="minorHAnsi" w:cs="Arial"/>
          <w:iCs/>
          <w:sz w:val="22"/>
          <w:szCs w:val="22"/>
        </w:rPr>
        <w:t>).</w:t>
      </w:r>
    </w:p>
    <w:p w:rsidR="008F440C" w:rsidRPr="001B2353" w:rsidRDefault="008F440C" w:rsidP="008F440C">
      <w:pPr>
        <w:numPr>
          <w:ilvl w:val="0"/>
          <w:numId w:val="28"/>
        </w:numPr>
        <w:spacing w:line="360" w:lineRule="auto"/>
        <w:jc w:val="both"/>
        <w:rPr>
          <w:rFonts w:asciiTheme="minorHAnsi" w:hAnsiTheme="minorHAnsi" w:cs="Arial"/>
          <w:sz w:val="22"/>
          <w:szCs w:val="22"/>
        </w:rPr>
      </w:pPr>
      <w:r w:rsidRPr="001B2353">
        <w:rPr>
          <w:rFonts w:asciiTheme="minorHAnsi" w:hAnsiTheme="minorHAnsi" w:cs="Arial"/>
          <w:iCs/>
          <w:sz w:val="22"/>
          <w:szCs w:val="22"/>
        </w:rPr>
        <w:t>O 190 osób wzrosła liczba bezrobotnych, którzy po odbyciu kary pozbawienia wolności nie podjęli zatrudnienia.</w:t>
      </w:r>
      <w:r w:rsidRPr="001B2353">
        <w:rPr>
          <w:rFonts w:asciiTheme="minorHAnsi" w:hAnsiTheme="minorHAnsi" w:cs="Arial"/>
          <w:sz w:val="22"/>
          <w:szCs w:val="22"/>
        </w:rPr>
        <w:t xml:space="preserve"> </w:t>
      </w:r>
      <w:r w:rsidR="00BC65C1" w:rsidRPr="001B2353">
        <w:rPr>
          <w:rFonts w:asciiTheme="minorHAnsi" w:hAnsiTheme="minorHAnsi" w:cs="Arial"/>
          <w:sz w:val="22"/>
          <w:szCs w:val="22"/>
        </w:rPr>
        <w:t>W</w:t>
      </w:r>
      <w:r w:rsidRPr="001B2353">
        <w:rPr>
          <w:rFonts w:asciiTheme="minorHAnsi" w:hAnsiTheme="minorHAnsi" w:cs="Arial"/>
          <w:sz w:val="22"/>
          <w:szCs w:val="22"/>
        </w:rPr>
        <w:t xml:space="preserve"> okresie styczeń – grudzień w roku 2012 liczba bezrobotnych w tej grupie wzrosła o 583 osoby. Odsetek </w:t>
      </w:r>
      <w:r w:rsidR="00633EBF" w:rsidRPr="001B2353">
        <w:rPr>
          <w:rFonts w:asciiTheme="minorHAnsi" w:hAnsiTheme="minorHAnsi" w:cs="Arial"/>
          <w:sz w:val="22"/>
          <w:szCs w:val="22"/>
        </w:rPr>
        <w:t>tej grupy</w:t>
      </w:r>
      <w:r w:rsidRPr="001B2353">
        <w:rPr>
          <w:rFonts w:asciiTheme="minorHAnsi" w:hAnsiTheme="minorHAnsi" w:cs="Arial"/>
          <w:sz w:val="22"/>
          <w:szCs w:val="22"/>
        </w:rPr>
        <w:t xml:space="preserve"> na koniec grudnia 2013 r. wynosił 2,4% (na koniec grudnia 2012 r. kształtował się na poziomie 2,3 %</w:t>
      </w:r>
      <w:r w:rsidRPr="001B2353">
        <w:rPr>
          <w:rFonts w:asciiTheme="minorHAnsi" w:hAnsiTheme="minorHAnsi" w:cs="Arial"/>
          <w:iCs/>
          <w:sz w:val="22"/>
          <w:szCs w:val="22"/>
        </w:rPr>
        <w:t>).</w:t>
      </w:r>
    </w:p>
    <w:p w:rsidR="008F440C" w:rsidRPr="001B2353" w:rsidRDefault="008F440C" w:rsidP="008F440C">
      <w:pPr>
        <w:numPr>
          <w:ilvl w:val="0"/>
          <w:numId w:val="28"/>
        </w:numPr>
        <w:spacing w:line="360" w:lineRule="auto"/>
        <w:jc w:val="both"/>
        <w:rPr>
          <w:rFonts w:asciiTheme="minorHAnsi" w:hAnsiTheme="minorHAnsi" w:cs="Arial"/>
          <w:b/>
          <w:iCs/>
          <w:sz w:val="22"/>
          <w:szCs w:val="22"/>
        </w:rPr>
      </w:pPr>
      <w:r w:rsidRPr="001B2353">
        <w:rPr>
          <w:rFonts w:asciiTheme="minorHAnsi" w:hAnsiTheme="minorHAnsi" w:cs="Arial"/>
          <w:iCs/>
          <w:sz w:val="22"/>
          <w:szCs w:val="22"/>
        </w:rPr>
        <w:t xml:space="preserve">Zwiększyła się także w analizowanym okresie liczba bezrobotnych kobiet, które nie podjęły zatrudnienia po urodzeniu dziecka. W okresie </w:t>
      </w:r>
      <w:r w:rsidRPr="001B2353">
        <w:rPr>
          <w:rFonts w:asciiTheme="minorHAnsi" w:hAnsiTheme="minorHAnsi" w:cs="Arial"/>
          <w:sz w:val="22"/>
          <w:szCs w:val="22"/>
        </w:rPr>
        <w:t>dwunastu</w:t>
      </w:r>
      <w:r w:rsidRPr="001B2353">
        <w:rPr>
          <w:rFonts w:asciiTheme="minorHAnsi" w:hAnsiTheme="minorHAnsi" w:cs="Arial"/>
          <w:iCs/>
          <w:sz w:val="22"/>
          <w:szCs w:val="22"/>
        </w:rPr>
        <w:t xml:space="preserve"> miesięcy 2013 r. liczba kobiet w tej grupie wzrosła o 534 osoby (w analogicznym okresie 2012 roku wzrosła o 1401 osób). </w:t>
      </w:r>
      <w:r w:rsidRPr="001B2353">
        <w:rPr>
          <w:rFonts w:asciiTheme="minorHAnsi" w:hAnsiTheme="minorHAnsi" w:cs="Arial"/>
          <w:sz w:val="22"/>
          <w:szCs w:val="22"/>
        </w:rPr>
        <w:t xml:space="preserve">Odsetek </w:t>
      </w:r>
      <w:r w:rsidRPr="001B2353">
        <w:rPr>
          <w:rFonts w:asciiTheme="minorHAnsi" w:hAnsiTheme="minorHAnsi" w:cs="Arial"/>
          <w:iCs/>
          <w:sz w:val="22"/>
          <w:szCs w:val="22"/>
        </w:rPr>
        <w:t>kobiet, które nie podjęły zatrudnienia po urodzeniu dziecka</w:t>
      </w:r>
      <w:r w:rsidRPr="001B2353">
        <w:rPr>
          <w:rFonts w:asciiTheme="minorHAnsi" w:hAnsiTheme="minorHAnsi" w:cs="Arial"/>
          <w:sz w:val="22"/>
          <w:szCs w:val="22"/>
        </w:rPr>
        <w:t xml:space="preserve"> w ogólnej liczbie zarejestrowanych osób zwiększył się w okresie dwunastu miesięcy 2013 r. z 10,0% na koniec grudnia 2012 r. do 10,6% na koniec grudnia 2013 roku.</w:t>
      </w:r>
    </w:p>
    <w:p w:rsidR="008F440C" w:rsidRPr="001B2353" w:rsidRDefault="008F440C" w:rsidP="008F440C">
      <w:pPr>
        <w:numPr>
          <w:ilvl w:val="0"/>
          <w:numId w:val="28"/>
        </w:numPr>
        <w:spacing w:line="360" w:lineRule="auto"/>
        <w:jc w:val="both"/>
        <w:rPr>
          <w:rFonts w:asciiTheme="minorHAnsi" w:hAnsiTheme="minorHAnsi" w:cs="Arial"/>
          <w:sz w:val="22"/>
          <w:szCs w:val="22"/>
        </w:rPr>
      </w:pPr>
      <w:r w:rsidRPr="001B2353">
        <w:rPr>
          <w:rFonts w:asciiTheme="minorHAnsi" w:hAnsiTheme="minorHAnsi" w:cs="Arial"/>
          <w:sz w:val="22"/>
          <w:szCs w:val="22"/>
        </w:rPr>
        <w:t xml:space="preserve">Zwiększyła się liczba bezrobotnych samotnie wychowujących co najmniej jedno dziecko do 18 roku życia. Populacja bezrobotnych w tej grupie wzrosła w 2013 roku o 773 osoby </w:t>
      </w:r>
      <w:r w:rsidR="00BC65C1" w:rsidRPr="001B2353">
        <w:rPr>
          <w:rFonts w:asciiTheme="minorHAnsi" w:hAnsiTheme="minorHAnsi" w:cs="Arial"/>
          <w:sz w:val="22"/>
          <w:szCs w:val="22"/>
        </w:rPr>
        <w:br/>
      </w:r>
      <w:r w:rsidRPr="001B2353">
        <w:rPr>
          <w:rFonts w:asciiTheme="minorHAnsi" w:hAnsiTheme="minorHAnsi" w:cs="Arial"/>
          <w:sz w:val="22"/>
          <w:szCs w:val="22"/>
        </w:rPr>
        <w:t>(w 2012 roku wzrosła o 1742 osoby). Odsetek bezrobotnych samotnie wychowujących co najmniej jedno dziecko do 18 roku życia w ogólnej liczbie zarej</w:t>
      </w:r>
      <w:r w:rsidR="00C7155E" w:rsidRPr="001B2353">
        <w:rPr>
          <w:rFonts w:asciiTheme="minorHAnsi" w:hAnsiTheme="minorHAnsi" w:cs="Arial"/>
          <w:sz w:val="22"/>
          <w:szCs w:val="22"/>
        </w:rPr>
        <w:t xml:space="preserve">estrowanych osób zwiększył się </w:t>
      </w:r>
      <w:r w:rsidRPr="001B2353">
        <w:rPr>
          <w:rFonts w:asciiTheme="minorHAnsi" w:hAnsiTheme="minorHAnsi" w:cs="Arial"/>
          <w:sz w:val="22"/>
          <w:szCs w:val="22"/>
        </w:rPr>
        <w:t>z 11,6% na koniec grudnia 2012 r. do 12,4% na koniec grudnia 2013 roku</w:t>
      </w:r>
      <w:r w:rsidRPr="001B2353">
        <w:rPr>
          <w:rFonts w:asciiTheme="minorHAnsi" w:hAnsiTheme="minorHAnsi" w:cs="Arial"/>
          <w:iCs/>
          <w:sz w:val="22"/>
          <w:szCs w:val="22"/>
        </w:rPr>
        <w:t xml:space="preserve">. </w:t>
      </w:r>
    </w:p>
    <w:p w:rsidR="008F440C" w:rsidRPr="001B2353" w:rsidRDefault="00BC65C1" w:rsidP="008F440C">
      <w:pPr>
        <w:numPr>
          <w:ilvl w:val="0"/>
          <w:numId w:val="28"/>
        </w:numPr>
        <w:spacing w:line="360" w:lineRule="auto"/>
        <w:jc w:val="both"/>
        <w:rPr>
          <w:rFonts w:asciiTheme="minorHAnsi" w:hAnsiTheme="minorHAnsi" w:cs="Arial"/>
          <w:sz w:val="22"/>
          <w:szCs w:val="22"/>
        </w:rPr>
      </w:pPr>
      <w:r w:rsidRPr="001B2353">
        <w:rPr>
          <w:rFonts w:asciiTheme="minorHAnsi" w:hAnsiTheme="minorHAnsi" w:cs="Arial"/>
          <w:sz w:val="22"/>
          <w:szCs w:val="22"/>
        </w:rPr>
        <w:t>L</w:t>
      </w:r>
      <w:r w:rsidR="008F440C" w:rsidRPr="001B2353">
        <w:rPr>
          <w:rFonts w:asciiTheme="minorHAnsi" w:hAnsiTheme="minorHAnsi" w:cs="Arial"/>
          <w:sz w:val="22"/>
          <w:szCs w:val="22"/>
        </w:rPr>
        <w:t>iczba bezrobotnych powyżej 50 roku życia wzrosła o 1309 osób. W takim samym okresie w roku 2012 odnotowano wzrost o 3860 osób. Odsetek bezrobotnych powyżej 50 roku życia na koniec grudnia 2013 r. wynosił  29,6%  (na koniec grudnia 2012 r. udział osób z tej grupy kształtował się na poziomie 28,1 %</w:t>
      </w:r>
      <w:r w:rsidR="008F440C" w:rsidRPr="001B2353">
        <w:rPr>
          <w:rFonts w:asciiTheme="minorHAnsi" w:hAnsiTheme="minorHAnsi" w:cs="Arial"/>
          <w:iCs/>
          <w:sz w:val="22"/>
          <w:szCs w:val="22"/>
        </w:rPr>
        <w:t>).</w:t>
      </w:r>
    </w:p>
    <w:p w:rsidR="008F440C" w:rsidRPr="001B2353" w:rsidRDefault="008F440C" w:rsidP="008F440C">
      <w:pPr>
        <w:numPr>
          <w:ilvl w:val="0"/>
          <w:numId w:val="28"/>
        </w:numPr>
        <w:spacing w:line="360" w:lineRule="auto"/>
        <w:jc w:val="both"/>
        <w:rPr>
          <w:rFonts w:asciiTheme="minorHAnsi" w:hAnsiTheme="minorHAnsi" w:cs="Arial"/>
          <w:sz w:val="22"/>
          <w:szCs w:val="22"/>
        </w:rPr>
      </w:pPr>
      <w:r w:rsidRPr="001B2353">
        <w:rPr>
          <w:rFonts w:asciiTheme="minorHAnsi" w:hAnsiTheme="minorHAnsi" w:cs="Arial"/>
          <w:sz w:val="22"/>
          <w:szCs w:val="22"/>
        </w:rPr>
        <w:t>W 2013 roku liczba długotrwale bezrobotnych zwiększyła się o 4387 osób. W roku 2012 odnotowano wzrost o 4181 osób. Odsetek długotrwale bezrobo</w:t>
      </w:r>
      <w:r w:rsidR="00C7155E" w:rsidRPr="001B2353">
        <w:rPr>
          <w:rFonts w:asciiTheme="minorHAnsi" w:hAnsiTheme="minorHAnsi" w:cs="Arial"/>
          <w:sz w:val="22"/>
          <w:szCs w:val="22"/>
        </w:rPr>
        <w:t xml:space="preserve">tnych na koniec 2013 r. wynosił 50,7% </w:t>
      </w:r>
      <w:r w:rsidRPr="001B2353">
        <w:rPr>
          <w:rFonts w:asciiTheme="minorHAnsi" w:hAnsiTheme="minorHAnsi" w:cs="Arial"/>
          <w:sz w:val="22"/>
          <w:szCs w:val="22"/>
        </w:rPr>
        <w:t>(na koniec 2012 r. udział tej grupy kształtował się na poziomie 46,7%</w:t>
      </w:r>
      <w:r w:rsidRPr="001B2353">
        <w:rPr>
          <w:rFonts w:asciiTheme="minorHAnsi" w:hAnsiTheme="minorHAnsi" w:cs="Arial"/>
          <w:iCs/>
          <w:sz w:val="22"/>
          <w:szCs w:val="22"/>
        </w:rPr>
        <w:t>).</w:t>
      </w:r>
    </w:p>
    <w:p w:rsidR="00633EBF" w:rsidRPr="001B2353" w:rsidRDefault="00633EBF" w:rsidP="00633EBF">
      <w:pPr>
        <w:spacing w:line="360" w:lineRule="auto"/>
        <w:ind w:firstLine="708"/>
        <w:jc w:val="both"/>
        <w:rPr>
          <w:rFonts w:asciiTheme="minorHAnsi" w:hAnsiTheme="minorHAnsi" w:cs="Arial"/>
          <w:sz w:val="22"/>
          <w:szCs w:val="22"/>
        </w:rPr>
      </w:pPr>
    </w:p>
    <w:p w:rsidR="008F440C" w:rsidRPr="001B2353" w:rsidRDefault="008F440C" w:rsidP="00633EBF">
      <w:pPr>
        <w:spacing w:line="360" w:lineRule="auto"/>
        <w:ind w:firstLine="708"/>
        <w:jc w:val="both"/>
        <w:rPr>
          <w:rFonts w:asciiTheme="minorHAnsi" w:hAnsiTheme="minorHAnsi" w:cs="Arial"/>
          <w:sz w:val="22"/>
          <w:szCs w:val="22"/>
        </w:rPr>
      </w:pPr>
      <w:r w:rsidRPr="001B2353">
        <w:rPr>
          <w:rFonts w:asciiTheme="minorHAnsi" w:hAnsiTheme="minorHAnsi" w:cs="Arial"/>
          <w:sz w:val="22"/>
          <w:szCs w:val="22"/>
        </w:rPr>
        <w:lastRenderedPageBreak/>
        <w:t xml:space="preserve">Spośród osób pozostających w ewidencji powiatowych urzędów pracy na koniec grudnia 2013 r. największa liczba bezrobotnych reprezentowała zawody z wielkiej grupy zawodowej „robotnicy przemysłowi i rzemieślnicy” (25,7%). Duża liczba bezrobotnych reprezentowała grupę „pracownicy usług </w:t>
      </w:r>
      <w:r w:rsidRPr="001B2353">
        <w:rPr>
          <w:rFonts w:asciiTheme="minorHAnsi" w:hAnsiTheme="minorHAnsi" w:cs="Arial"/>
          <w:sz w:val="22"/>
          <w:szCs w:val="22"/>
        </w:rPr>
        <w:br/>
        <w:t>i sprzedawcy” (17,4%), natomiast trzecią co do wielkości grupę wśród bezrobotnych stanowiły osoby bez zawodu (15,5%). Najmniej licznie reprezentowane były „siły zbrojne” (0,1%) oraz „przedstawiciele władz publicznych, wyżsi urzędnicy” (0,5%). Strukturę przedstawia poniższy wykres:</w:t>
      </w:r>
    </w:p>
    <w:p w:rsidR="009164AE" w:rsidRPr="001B2353" w:rsidRDefault="00B55F47" w:rsidP="00B55F47">
      <w:pPr>
        <w:spacing w:line="360" w:lineRule="auto"/>
        <w:jc w:val="both"/>
        <w:rPr>
          <w:rFonts w:asciiTheme="minorHAnsi" w:hAnsiTheme="minorHAnsi" w:cs="Arial"/>
          <w:sz w:val="22"/>
          <w:szCs w:val="22"/>
        </w:rPr>
      </w:pPr>
      <w:r w:rsidRPr="001B2353">
        <w:rPr>
          <w:rFonts w:asciiTheme="minorHAnsi" w:hAnsiTheme="minorHAnsi" w:cs="Arial"/>
          <w:sz w:val="22"/>
          <w:szCs w:val="22"/>
        </w:rPr>
        <w:tab/>
      </w:r>
    </w:p>
    <w:p w:rsidR="009164AE" w:rsidRPr="001B2353" w:rsidRDefault="008F440C" w:rsidP="00357BFD">
      <w:pPr>
        <w:spacing w:line="360" w:lineRule="auto"/>
        <w:ind w:firstLine="360"/>
        <w:jc w:val="center"/>
        <w:rPr>
          <w:rFonts w:asciiTheme="minorHAnsi" w:hAnsiTheme="minorHAnsi" w:cs="Arial"/>
          <w:noProof/>
          <w:sz w:val="22"/>
          <w:szCs w:val="22"/>
        </w:rPr>
      </w:pPr>
      <w:r w:rsidRPr="001B2353">
        <w:rPr>
          <w:rFonts w:asciiTheme="minorHAnsi" w:hAnsiTheme="minorHAnsi"/>
          <w:noProof/>
          <w:sz w:val="22"/>
          <w:szCs w:val="22"/>
        </w:rPr>
        <w:drawing>
          <wp:inline distT="0" distB="0" distL="0" distR="0" wp14:anchorId="702921BC" wp14:editId="75000C59">
            <wp:extent cx="5763440" cy="4018915"/>
            <wp:effectExtent l="0" t="0" r="0" b="0"/>
            <wp:docPr id="17" name="Wykres 1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8F440C" w:rsidRPr="001B2353" w:rsidRDefault="008F440C" w:rsidP="008F440C">
      <w:pPr>
        <w:spacing w:line="360" w:lineRule="auto"/>
        <w:ind w:firstLine="360"/>
        <w:jc w:val="both"/>
        <w:rPr>
          <w:rFonts w:asciiTheme="minorHAnsi" w:hAnsiTheme="minorHAnsi" w:cs="Arial"/>
          <w:sz w:val="22"/>
          <w:szCs w:val="22"/>
        </w:rPr>
      </w:pPr>
      <w:r w:rsidRPr="001B2353">
        <w:rPr>
          <w:rFonts w:asciiTheme="minorHAnsi" w:hAnsiTheme="minorHAnsi" w:cs="Arial"/>
          <w:sz w:val="22"/>
          <w:szCs w:val="22"/>
        </w:rPr>
        <w:t>Analiza struktury zarejestrowanych bezrobotnych wg sekcji PKD wykazała, że najliczniejsza grupa bezrobotnych pracowała poprzednio w zakładach pracy z sekcji C „przetwórstwo przemysłowe” (16,2%), sekcji G „handel hurtowy i detaliczny” (13,0%) oraz sekcji F „budownictwo” (8,5%). Najmniej osób (poniżej 0,1%)  pochodziło z sekcji U „organizacje i zespoły eksterytorialne” oraz sekcji T „gospodarstwa domowe zatrudniające pracowników, gospodarstwa domowe produkujące wyroby i świadczące usługi na własne potrzeby”. Strukturę zarejestrowanych bezrobotnych wg sekcji PKD przedstawia poniższy wykres:</w:t>
      </w:r>
    </w:p>
    <w:p w:rsidR="00633EBF" w:rsidRPr="001B2353" w:rsidRDefault="00633EBF" w:rsidP="008F440C">
      <w:pPr>
        <w:spacing w:line="360" w:lineRule="auto"/>
        <w:ind w:firstLine="360"/>
        <w:jc w:val="both"/>
        <w:rPr>
          <w:rFonts w:asciiTheme="minorHAnsi" w:hAnsiTheme="minorHAnsi" w:cs="Arial"/>
          <w:sz w:val="22"/>
          <w:szCs w:val="22"/>
        </w:rPr>
      </w:pPr>
    </w:p>
    <w:p w:rsidR="008F440C" w:rsidRPr="001B2353" w:rsidRDefault="008F440C" w:rsidP="008F440C">
      <w:pPr>
        <w:spacing w:line="360" w:lineRule="auto"/>
        <w:ind w:firstLine="360"/>
        <w:jc w:val="center"/>
        <w:rPr>
          <w:rFonts w:asciiTheme="minorHAnsi" w:hAnsiTheme="minorHAnsi" w:cs="Arial"/>
          <w:sz w:val="22"/>
          <w:szCs w:val="22"/>
        </w:rPr>
      </w:pPr>
      <w:r w:rsidRPr="001B2353">
        <w:rPr>
          <w:rFonts w:asciiTheme="minorHAnsi" w:hAnsiTheme="minorHAnsi"/>
          <w:noProof/>
          <w:sz w:val="22"/>
          <w:szCs w:val="22"/>
        </w:rPr>
        <w:lastRenderedPageBreak/>
        <w:drawing>
          <wp:inline distT="0" distB="0" distL="0" distR="0" wp14:anchorId="1DE6B77B" wp14:editId="3719BAFB">
            <wp:extent cx="5115560" cy="7368363"/>
            <wp:effectExtent l="0" t="0" r="0" b="0"/>
            <wp:docPr id="18" name="Wykres 1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426E53" w:rsidRPr="001B2353" w:rsidRDefault="00B55F47" w:rsidP="003C0976">
      <w:pPr>
        <w:spacing w:line="276" w:lineRule="auto"/>
        <w:jc w:val="both"/>
        <w:rPr>
          <w:rFonts w:asciiTheme="minorHAnsi" w:hAnsiTheme="minorHAnsi" w:cs="Arial"/>
          <w:sz w:val="22"/>
          <w:szCs w:val="22"/>
        </w:rPr>
      </w:pPr>
      <w:r w:rsidRPr="001B2353">
        <w:rPr>
          <w:rFonts w:asciiTheme="minorHAnsi" w:hAnsiTheme="minorHAnsi" w:cs="Arial"/>
          <w:sz w:val="22"/>
          <w:szCs w:val="22"/>
        </w:rPr>
        <w:tab/>
      </w:r>
      <w:r w:rsidR="00426E53" w:rsidRPr="001B2353">
        <w:rPr>
          <w:rFonts w:asciiTheme="minorHAnsi" w:hAnsiTheme="minorHAnsi" w:cs="Arial"/>
          <w:sz w:val="22"/>
          <w:szCs w:val="22"/>
        </w:rPr>
        <w:t>Napływ bezrobotnych w województwie dolnośląskim w okresie ostatnich 12 miesięcy 201</w:t>
      </w:r>
      <w:r w:rsidR="008F440C" w:rsidRPr="001B2353">
        <w:rPr>
          <w:rFonts w:asciiTheme="minorHAnsi" w:hAnsiTheme="minorHAnsi" w:cs="Arial"/>
          <w:sz w:val="22"/>
          <w:szCs w:val="22"/>
        </w:rPr>
        <w:t>3</w:t>
      </w:r>
      <w:r w:rsidR="00426E53" w:rsidRPr="001B2353">
        <w:rPr>
          <w:rFonts w:asciiTheme="minorHAnsi" w:hAnsiTheme="minorHAnsi" w:cs="Arial"/>
          <w:sz w:val="22"/>
          <w:szCs w:val="22"/>
        </w:rPr>
        <w:t xml:space="preserve"> roku przedstawia poniższy wykres:</w:t>
      </w:r>
    </w:p>
    <w:p w:rsidR="00633EBF" w:rsidRPr="001B2353" w:rsidRDefault="00633EBF" w:rsidP="003C0976">
      <w:pPr>
        <w:spacing w:line="276" w:lineRule="auto"/>
        <w:jc w:val="both"/>
        <w:rPr>
          <w:rFonts w:asciiTheme="minorHAnsi" w:hAnsiTheme="minorHAnsi" w:cs="Arial"/>
          <w:noProof/>
          <w:sz w:val="22"/>
          <w:szCs w:val="22"/>
        </w:rPr>
      </w:pPr>
    </w:p>
    <w:p w:rsidR="00426E53" w:rsidRPr="001B2353" w:rsidRDefault="0049362D" w:rsidP="00357BFD">
      <w:pPr>
        <w:spacing w:line="360" w:lineRule="auto"/>
        <w:jc w:val="center"/>
        <w:rPr>
          <w:rFonts w:asciiTheme="minorHAnsi" w:hAnsiTheme="minorHAnsi"/>
          <w:b/>
          <w:noProof/>
          <w:sz w:val="22"/>
          <w:szCs w:val="22"/>
          <w:highlight w:val="yellow"/>
        </w:rPr>
      </w:pPr>
      <w:r w:rsidRPr="001B2353">
        <w:rPr>
          <w:rFonts w:asciiTheme="minorHAnsi" w:hAnsiTheme="minorHAnsi"/>
          <w:noProof/>
          <w:sz w:val="22"/>
          <w:szCs w:val="22"/>
        </w:rPr>
        <w:lastRenderedPageBreak/>
        <w:drawing>
          <wp:inline distT="0" distB="0" distL="0" distR="0" wp14:anchorId="71270C18" wp14:editId="0207D78E">
            <wp:extent cx="5656521" cy="3710763"/>
            <wp:effectExtent l="0" t="0" r="0" b="0"/>
            <wp:docPr id="19" name="Wykres 1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633EBF" w:rsidRPr="001B2353" w:rsidRDefault="00B55F47" w:rsidP="00B55F47">
      <w:pPr>
        <w:spacing w:line="360" w:lineRule="auto"/>
        <w:jc w:val="both"/>
        <w:rPr>
          <w:rFonts w:asciiTheme="minorHAnsi" w:hAnsiTheme="minorHAnsi" w:cs="Arial"/>
          <w:sz w:val="22"/>
          <w:szCs w:val="22"/>
        </w:rPr>
      </w:pPr>
      <w:r w:rsidRPr="001B2353">
        <w:rPr>
          <w:rFonts w:asciiTheme="minorHAnsi" w:hAnsiTheme="minorHAnsi" w:cs="Arial"/>
          <w:sz w:val="22"/>
          <w:szCs w:val="22"/>
        </w:rPr>
        <w:tab/>
      </w:r>
    </w:p>
    <w:p w:rsidR="00426E53" w:rsidRPr="001B2353" w:rsidRDefault="00426E53" w:rsidP="00633EBF">
      <w:pPr>
        <w:spacing w:line="360" w:lineRule="auto"/>
        <w:ind w:firstLine="708"/>
        <w:jc w:val="both"/>
        <w:rPr>
          <w:rFonts w:asciiTheme="minorHAnsi" w:hAnsiTheme="minorHAnsi" w:cs="Arial"/>
          <w:sz w:val="22"/>
          <w:szCs w:val="22"/>
        </w:rPr>
      </w:pPr>
      <w:r w:rsidRPr="001B2353">
        <w:rPr>
          <w:rFonts w:asciiTheme="minorHAnsi" w:hAnsiTheme="minorHAnsi" w:cs="Arial"/>
          <w:sz w:val="22"/>
          <w:szCs w:val="22"/>
        </w:rPr>
        <w:t>Odpływ bezrobotnych w województwie dolnośląskim, w tym z tytułu podjęcia pracy w okresie ostatnich 12 miesięcy przedstawia poniższy wykres:</w:t>
      </w:r>
    </w:p>
    <w:p w:rsidR="00633EBF" w:rsidRPr="001B2353" w:rsidRDefault="00633EBF" w:rsidP="00633EBF">
      <w:pPr>
        <w:spacing w:line="360" w:lineRule="auto"/>
        <w:ind w:firstLine="708"/>
        <w:jc w:val="both"/>
        <w:rPr>
          <w:rFonts w:asciiTheme="minorHAnsi" w:hAnsiTheme="minorHAnsi" w:cs="Arial"/>
          <w:sz w:val="22"/>
          <w:szCs w:val="22"/>
        </w:rPr>
      </w:pPr>
    </w:p>
    <w:p w:rsidR="0049362D" w:rsidRPr="001B2353" w:rsidRDefault="0049362D" w:rsidP="0049362D">
      <w:pPr>
        <w:spacing w:line="360" w:lineRule="auto"/>
        <w:jc w:val="center"/>
        <w:rPr>
          <w:rFonts w:asciiTheme="minorHAnsi" w:hAnsiTheme="minorHAnsi" w:cs="Arial"/>
          <w:sz w:val="22"/>
          <w:szCs w:val="22"/>
        </w:rPr>
      </w:pPr>
      <w:r w:rsidRPr="001B2353">
        <w:rPr>
          <w:rFonts w:asciiTheme="minorHAnsi" w:hAnsiTheme="minorHAnsi"/>
          <w:noProof/>
          <w:sz w:val="22"/>
          <w:szCs w:val="22"/>
        </w:rPr>
        <w:drawing>
          <wp:inline distT="0" distB="0" distL="0" distR="0" wp14:anchorId="01E5062E" wp14:editId="4A2AD0E7">
            <wp:extent cx="5677786" cy="3636335"/>
            <wp:effectExtent l="0" t="0" r="0" b="0"/>
            <wp:docPr id="20" name="Wykres 2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49362D" w:rsidRPr="001B2353" w:rsidRDefault="0049362D" w:rsidP="00B55F47">
      <w:pPr>
        <w:spacing w:line="360" w:lineRule="auto"/>
        <w:jc w:val="both"/>
        <w:rPr>
          <w:rFonts w:asciiTheme="minorHAnsi" w:hAnsiTheme="minorHAnsi" w:cs="Arial"/>
          <w:sz w:val="22"/>
          <w:szCs w:val="22"/>
        </w:rPr>
      </w:pPr>
    </w:p>
    <w:p w:rsidR="00426EAA" w:rsidRPr="001B2353" w:rsidRDefault="00B55F47" w:rsidP="003C0976">
      <w:pPr>
        <w:spacing w:line="276" w:lineRule="auto"/>
        <w:jc w:val="both"/>
        <w:rPr>
          <w:rFonts w:asciiTheme="minorHAnsi" w:hAnsiTheme="minorHAnsi" w:cs="Arial"/>
          <w:sz w:val="22"/>
          <w:szCs w:val="22"/>
        </w:rPr>
      </w:pPr>
      <w:r w:rsidRPr="001B2353">
        <w:rPr>
          <w:rFonts w:asciiTheme="minorHAnsi" w:hAnsiTheme="minorHAnsi" w:cs="Arial"/>
          <w:sz w:val="22"/>
          <w:szCs w:val="22"/>
        </w:rPr>
        <w:tab/>
      </w:r>
      <w:r w:rsidR="00426EAA" w:rsidRPr="001B2353">
        <w:rPr>
          <w:rFonts w:asciiTheme="minorHAnsi" w:hAnsiTheme="minorHAnsi" w:cs="Arial"/>
          <w:sz w:val="22"/>
          <w:szCs w:val="22"/>
        </w:rPr>
        <w:t>Napływ bezrobotnych w 201</w:t>
      </w:r>
      <w:r w:rsidR="0049362D" w:rsidRPr="001B2353">
        <w:rPr>
          <w:rFonts w:asciiTheme="minorHAnsi" w:hAnsiTheme="minorHAnsi" w:cs="Arial"/>
          <w:sz w:val="22"/>
          <w:szCs w:val="22"/>
        </w:rPr>
        <w:t>3</w:t>
      </w:r>
      <w:r w:rsidR="00426EAA" w:rsidRPr="001B2353">
        <w:rPr>
          <w:rFonts w:asciiTheme="minorHAnsi" w:hAnsiTheme="minorHAnsi" w:cs="Arial"/>
          <w:sz w:val="22"/>
          <w:szCs w:val="22"/>
        </w:rPr>
        <w:t xml:space="preserve"> r. w podziale na wielkie grupy zawodowe przedstawiał się następująco:</w:t>
      </w:r>
    </w:p>
    <w:p w:rsidR="00633EBF" w:rsidRPr="001B2353" w:rsidRDefault="00633EBF" w:rsidP="003C0976">
      <w:pPr>
        <w:spacing w:line="276" w:lineRule="auto"/>
        <w:jc w:val="both"/>
        <w:rPr>
          <w:rFonts w:asciiTheme="minorHAnsi" w:hAnsiTheme="minorHAnsi" w:cs="Arial"/>
          <w:sz w:val="22"/>
          <w:szCs w:val="22"/>
        </w:rPr>
      </w:pPr>
    </w:p>
    <w:p w:rsidR="00426EAA" w:rsidRPr="001B2353" w:rsidRDefault="0049362D" w:rsidP="00B55F47">
      <w:pPr>
        <w:spacing w:line="360" w:lineRule="auto"/>
        <w:jc w:val="center"/>
        <w:rPr>
          <w:rFonts w:asciiTheme="minorHAnsi" w:hAnsiTheme="minorHAnsi" w:cs="Arial"/>
          <w:sz w:val="22"/>
          <w:szCs w:val="22"/>
          <w:highlight w:val="yellow"/>
        </w:rPr>
      </w:pPr>
      <w:bookmarkStart w:id="1" w:name="_Toc284227888"/>
      <w:r w:rsidRPr="001B2353">
        <w:rPr>
          <w:rFonts w:asciiTheme="minorHAnsi" w:hAnsiTheme="minorHAnsi"/>
          <w:noProof/>
          <w:sz w:val="22"/>
          <w:szCs w:val="22"/>
        </w:rPr>
        <w:drawing>
          <wp:inline distT="0" distB="0" distL="0" distR="0" wp14:anchorId="679D159D" wp14:editId="10530938">
            <wp:extent cx="5666740" cy="4572000"/>
            <wp:effectExtent l="0" t="0" r="0" b="0"/>
            <wp:docPr id="21" name="Wykres 2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bookmarkEnd w:id="1"/>
    <w:p w:rsidR="00633EBF" w:rsidRPr="001B2353" w:rsidRDefault="00633EBF" w:rsidP="00357BFD">
      <w:pPr>
        <w:spacing w:line="360" w:lineRule="auto"/>
        <w:jc w:val="both"/>
        <w:rPr>
          <w:rFonts w:asciiTheme="minorHAnsi" w:hAnsiTheme="minorHAnsi" w:cs="Arial"/>
          <w:sz w:val="22"/>
          <w:szCs w:val="22"/>
        </w:rPr>
      </w:pPr>
    </w:p>
    <w:p w:rsidR="00633EBF" w:rsidRPr="001B2353" w:rsidRDefault="00B55F47" w:rsidP="00357BFD">
      <w:pPr>
        <w:spacing w:line="360" w:lineRule="auto"/>
        <w:jc w:val="both"/>
        <w:rPr>
          <w:rFonts w:asciiTheme="minorHAnsi" w:hAnsiTheme="minorHAnsi" w:cs="Arial"/>
          <w:sz w:val="22"/>
          <w:szCs w:val="22"/>
        </w:rPr>
      </w:pPr>
      <w:r w:rsidRPr="001B2353">
        <w:rPr>
          <w:rFonts w:asciiTheme="minorHAnsi" w:hAnsiTheme="minorHAnsi" w:cs="Arial"/>
          <w:sz w:val="22"/>
          <w:szCs w:val="22"/>
        </w:rPr>
        <w:tab/>
      </w:r>
      <w:r w:rsidR="0049362D" w:rsidRPr="001B2353">
        <w:rPr>
          <w:rFonts w:asciiTheme="minorHAnsi" w:hAnsiTheme="minorHAnsi" w:cs="Arial"/>
          <w:sz w:val="22"/>
          <w:szCs w:val="22"/>
        </w:rPr>
        <w:t>Największa liczba nowo zarejestrowanych bezrobotnych 2013 r. pochodziła z sekcji gospodarki „przetwórstwo przemysłowe” (32 143 osoby, tj. 15,0%), „handel hurtowy i detaliczny, naprawy pojazdów samochodowych, włączając motocykle” (27726 osób, tj. 12,9%) oraz „budownictwo” (17437 osób, tj. 8,1%). Jak wynika z danych statystycznych GUS w 2012 roku osoby zatrudnione w sekcji C stanowiły 20,0% wszystkich zatrudnionych na Dolnym Śląsku (przeciętne zatrudnienie), w sekcji G 15,8%, a w sekcji F 6,4% (wyliczania własne na podstawie danych z Banku Danych Lokalnych GUS). Duży udział w napływie bezrobotnych osób poprzednio pracujących w sekcji C PKD skorelowan</w:t>
      </w:r>
      <w:r w:rsidR="001B2353" w:rsidRPr="001B2353">
        <w:rPr>
          <w:rFonts w:asciiTheme="minorHAnsi" w:hAnsiTheme="minorHAnsi" w:cs="Arial"/>
          <w:sz w:val="22"/>
          <w:szCs w:val="22"/>
        </w:rPr>
        <w:t>y jest z największym udziałem w </w:t>
      </w:r>
      <w:r w:rsidR="0049362D" w:rsidRPr="001B2353">
        <w:rPr>
          <w:rFonts w:asciiTheme="minorHAnsi" w:hAnsiTheme="minorHAnsi" w:cs="Arial"/>
          <w:sz w:val="22"/>
          <w:szCs w:val="22"/>
        </w:rPr>
        <w:t xml:space="preserve">napływie osób reprezentujących zawody z wielkiej grupy zawodowej „pracownicy przemysłowi i rzemieślnicy”. Najmniej nowo zarejestrowanych osób (poniżej 0,1%) pochodziło z sekcji PKD „organizacje i zespoły eksterytorialne” (4 osoby) oraz „gospodarstwa domowe zatrudniające pracowników, gospodarstwa domowe produkujące wyroby i świadczące usługi na własne potrzeby” (30 osób). Osoby dotychczas nie pracujące (33165 osób) stanowiły 15,5% napływu. Dla 15,7% wszystkich nowo zarejestrowanych bezrobotnych, tj. 33567 osób nie wskazano sekcji PKD (działalność niezidentyfikowana). </w:t>
      </w:r>
    </w:p>
    <w:p w:rsidR="00633EBF" w:rsidRPr="001B2353" w:rsidRDefault="00633EBF" w:rsidP="00357BFD">
      <w:pPr>
        <w:spacing w:line="360" w:lineRule="auto"/>
        <w:jc w:val="both"/>
        <w:rPr>
          <w:rFonts w:asciiTheme="minorHAnsi" w:hAnsiTheme="minorHAnsi" w:cs="Arial"/>
          <w:sz w:val="22"/>
          <w:szCs w:val="22"/>
        </w:rPr>
      </w:pPr>
    </w:p>
    <w:p w:rsidR="00426EAA" w:rsidRPr="001B2353" w:rsidRDefault="0049362D" w:rsidP="00633EBF">
      <w:pPr>
        <w:spacing w:line="360" w:lineRule="auto"/>
        <w:ind w:firstLine="708"/>
        <w:jc w:val="both"/>
        <w:rPr>
          <w:rFonts w:asciiTheme="minorHAnsi" w:hAnsiTheme="minorHAnsi" w:cs="Arial"/>
          <w:sz w:val="22"/>
          <w:szCs w:val="22"/>
        </w:rPr>
      </w:pPr>
      <w:r w:rsidRPr="001B2353">
        <w:rPr>
          <w:rFonts w:asciiTheme="minorHAnsi" w:hAnsiTheme="minorHAnsi" w:cs="Arial"/>
          <w:sz w:val="22"/>
          <w:szCs w:val="22"/>
        </w:rPr>
        <w:t>Dane dotyczące napływu bezrobotnych w poszczególnych sekcjach PKD w 2013 r. przedstawia poniższy wykres:</w:t>
      </w:r>
    </w:p>
    <w:p w:rsidR="00426EAA" w:rsidRPr="001B2353" w:rsidRDefault="0049362D" w:rsidP="00357BFD">
      <w:pPr>
        <w:spacing w:line="360" w:lineRule="auto"/>
        <w:jc w:val="center"/>
        <w:rPr>
          <w:rFonts w:asciiTheme="minorHAnsi" w:hAnsiTheme="minorHAnsi" w:cs="Arial"/>
          <w:noProof/>
          <w:sz w:val="22"/>
          <w:szCs w:val="22"/>
        </w:rPr>
      </w:pPr>
      <w:r w:rsidRPr="001B2353">
        <w:rPr>
          <w:rFonts w:asciiTheme="minorHAnsi" w:hAnsiTheme="minorHAnsi"/>
          <w:noProof/>
          <w:sz w:val="22"/>
          <w:szCs w:val="22"/>
        </w:rPr>
        <w:lastRenderedPageBreak/>
        <w:drawing>
          <wp:inline distT="0" distB="0" distL="0" distR="0" wp14:anchorId="5C95735F" wp14:editId="6C77EF08">
            <wp:extent cx="5268686" cy="8262257"/>
            <wp:effectExtent l="0" t="0" r="27305" b="24765"/>
            <wp:docPr id="22" name="Wykres 2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49362D" w:rsidRPr="001B2353" w:rsidRDefault="0049362D" w:rsidP="00B55F47">
      <w:pPr>
        <w:spacing w:line="360" w:lineRule="auto"/>
        <w:jc w:val="both"/>
        <w:rPr>
          <w:rFonts w:asciiTheme="minorHAnsi" w:hAnsiTheme="minorHAnsi" w:cs="Arial"/>
          <w:sz w:val="22"/>
          <w:szCs w:val="22"/>
        </w:rPr>
      </w:pPr>
    </w:p>
    <w:p w:rsidR="0049362D" w:rsidRPr="001B2353" w:rsidRDefault="0049362D" w:rsidP="00B55F47">
      <w:pPr>
        <w:spacing w:line="360" w:lineRule="auto"/>
        <w:jc w:val="both"/>
        <w:rPr>
          <w:rFonts w:asciiTheme="minorHAnsi" w:hAnsiTheme="minorHAnsi" w:cs="Arial"/>
          <w:sz w:val="22"/>
          <w:szCs w:val="22"/>
        </w:rPr>
      </w:pPr>
    </w:p>
    <w:p w:rsidR="0049362D" w:rsidRPr="001B2353" w:rsidRDefault="0049362D" w:rsidP="00B55F47">
      <w:pPr>
        <w:spacing w:line="360" w:lineRule="auto"/>
        <w:jc w:val="both"/>
        <w:rPr>
          <w:rFonts w:asciiTheme="minorHAnsi" w:hAnsiTheme="minorHAnsi" w:cs="Arial"/>
          <w:sz w:val="22"/>
          <w:szCs w:val="22"/>
        </w:rPr>
      </w:pPr>
    </w:p>
    <w:p w:rsidR="00426E53" w:rsidRPr="001B2353" w:rsidRDefault="006B5BE2" w:rsidP="00B55F47">
      <w:pPr>
        <w:shd w:val="clear" w:color="auto" w:fill="FFFFFF"/>
        <w:spacing w:line="360" w:lineRule="auto"/>
        <w:jc w:val="both"/>
        <w:rPr>
          <w:rFonts w:asciiTheme="minorHAnsi" w:hAnsiTheme="minorHAnsi" w:cs="Arial"/>
          <w:b/>
          <w:sz w:val="22"/>
          <w:szCs w:val="22"/>
        </w:rPr>
      </w:pPr>
      <w:r w:rsidRPr="001B2353">
        <w:rPr>
          <w:rFonts w:asciiTheme="minorHAnsi" w:hAnsiTheme="minorHAnsi" w:cs="Arial"/>
          <w:b/>
          <w:sz w:val="22"/>
          <w:szCs w:val="22"/>
        </w:rPr>
        <w:lastRenderedPageBreak/>
        <w:t>Zgłoszenia zwolnień grupowych</w:t>
      </w:r>
    </w:p>
    <w:p w:rsidR="00736DE3" w:rsidRPr="001B2353" w:rsidRDefault="00736DE3" w:rsidP="00736DE3">
      <w:pPr>
        <w:spacing w:line="360" w:lineRule="auto"/>
        <w:ind w:firstLine="426"/>
        <w:jc w:val="both"/>
        <w:rPr>
          <w:rFonts w:asciiTheme="minorHAnsi" w:hAnsiTheme="minorHAnsi" w:cs="Arial"/>
          <w:sz w:val="22"/>
          <w:szCs w:val="22"/>
        </w:rPr>
      </w:pPr>
      <w:r w:rsidRPr="001B2353">
        <w:rPr>
          <w:rFonts w:asciiTheme="minorHAnsi" w:hAnsiTheme="minorHAnsi" w:cs="Arial"/>
          <w:sz w:val="22"/>
          <w:szCs w:val="22"/>
        </w:rPr>
        <w:t xml:space="preserve">Skalę zgłoszeń oraz zwolnień pracowników z przyczyn dotyczących zakładów pracy w okresie </w:t>
      </w:r>
      <w:r w:rsidR="00FB4E54">
        <w:rPr>
          <w:rFonts w:asciiTheme="minorHAnsi" w:hAnsiTheme="minorHAnsi" w:cs="Arial"/>
          <w:sz w:val="22"/>
          <w:szCs w:val="22"/>
        </w:rPr>
        <w:t>styczeń</w:t>
      </w:r>
      <w:r w:rsidRPr="001B2353">
        <w:rPr>
          <w:rFonts w:asciiTheme="minorHAnsi" w:hAnsiTheme="minorHAnsi" w:cs="Arial"/>
          <w:sz w:val="22"/>
          <w:szCs w:val="22"/>
        </w:rPr>
        <w:t xml:space="preserve"> – grudzień w latach 2007 – 2013 ilustruje kolejny wykres:</w:t>
      </w:r>
    </w:p>
    <w:p w:rsidR="00736DE3" w:rsidRDefault="00736DE3" w:rsidP="00736DE3">
      <w:pPr>
        <w:spacing w:line="360" w:lineRule="auto"/>
        <w:ind w:left="426"/>
        <w:jc w:val="both"/>
        <w:rPr>
          <w:rFonts w:asciiTheme="minorHAnsi" w:hAnsiTheme="minorHAnsi" w:cs="Arial"/>
          <w:sz w:val="22"/>
          <w:szCs w:val="22"/>
          <w:highlight w:val="yellow"/>
        </w:rPr>
      </w:pPr>
    </w:p>
    <w:p w:rsidR="00FB4E54" w:rsidRPr="001B2353" w:rsidRDefault="00FB4E54" w:rsidP="00736DE3">
      <w:pPr>
        <w:spacing w:line="360" w:lineRule="auto"/>
        <w:ind w:left="426"/>
        <w:jc w:val="both"/>
        <w:rPr>
          <w:rFonts w:asciiTheme="minorHAnsi" w:hAnsiTheme="minorHAnsi" w:cs="Arial"/>
          <w:sz w:val="22"/>
          <w:szCs w:val="22"/>
          <w:highlight w:val="yellow"/>
        </w:rPr>
      </w:pPr>
    </w:p>
    <w:p w:rsidR="00736DE3" w:rsidRPr="001B2353" w:rsidRDefault="00736DE3" w:rsidP="00736DE3">
      <w:pPr>
        <w:shd w:val="clear" w:color="auto" w:fill="FFFFFF"/>
        <w:spacing w:line="360" w:lineRule="auto"/>
        <w:jc w:val="center"/>
        <w:rPr>
          <w:rFonts w:asciiTheme="minorHAnsi" w:hAnsiTheme="minorHAnsi" w:cs="Arial"/>
          <w:b/>
          <w:sz w:val="22"/>
          <w:szCs w:val="22"/>
        </w:rPr>
      </w:pPr>
      <w:r w:rsidRPr="001B2353">
        <w:rPr>
          <w:rFonts w:asciiTheme="minorHAnsi" w:hAnsiTheme="minorHAnsi"/>
          <w:noProof/>
          <w:sz w:val="22"/>
          <w:szCs w:val="22"/>
        </w:rPr>
        <w:drawing>
          <wp:inline distT="0" distB="0" distL="0" distR="0" wp14:anchorId="5019F8D8" wp14:editId="0F6C68BD">
            <wp:extent cx="5730875" cy="3997841"/>
            <wp:effectExtent l="0" t="0" r="0" b="0"/>
            <wp:docPr id="23" name="Wykres 2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736DE3" w:rsidRDefault="00736DE3" w:rsidP="00736DE3">
      <w:pPr>
        <w:shd w:val="clear" w:color="auto" w:fill="FFFFFF"/>
        <w:spacing w:line="360" w:lineRule="auto"/>
        <w:jc w:val="both"/>
        <w:rPr>
          <w:rFonts w:asciiTheme="minorHAnsi" w:hAnsiTheme="minorHAnsi" w:cs="Arial"/>
          <w:b/>
          <w:sz w:val="22"/>
          <w:szCs w:val="22"/>
        </w:rPr>
      </w:pPr>
    </w:p>
    <w:p w:rsidR="00FB4E54" w:rsidRPr="001B2353" w:rsidRDefault="00FB4E54" w:rsidP="00736DE3">
      <w:pPr>
        <w:shd w:val="clear" w:color="auto" w:fill="FFFFFF"/>
        <w:spacing w:line="360" w:lineRule="auto"/>
        <w:jc w:val="both"/>
        <w:rPr>
          <w:rFonts w:asciiTheme="minorHAnsi" w:hAnsiTheme="minorHAnsi" w:cs="Arial"/>
          <w:b/>
          <w:sz w:val="22"/>
          <w:szCs w:val="22"/>
        </w:rPr>
      </w:pPr>
    </w:p>
    <w:p w:rsidR="009041EB" w:rsidRPr="001B2353" w:rsidRDefault="007F32E7" w:rsidP="00736DE3">
      <w:pPr>
        <w:shd w:val="clear" w:color="auto" w:fill="FFFFFF"/>
        <w:spacing w:line="360" w:lineRule="auto"/>
        <w:jc w:val="both"/>
        <w:rPr>
          <w:rFonts w:asciiTheme="minorHAnsi" w:hAnsiTheme="minorHAnsi" w:cs="Arial"/>
          <w:b/>
          <w:sz w:val="22"/>
          <w:szCs w:val="22"/>
        </w:rPr>
      </w:pPr>
      <w:r w:rsidRPr="001B2353">
        <w:rPr>
          <w:rFonts w:asciiTheme="minorHAnsi" w:hAnsiTheme="minorHAnsi" w:cs="Arial"/>
          <w:b/>
          <w:sz w:val="22"/>
          <w:szCs w:val="22"/>
        </w:rPr>
        <w:t>Napływ ofert pracy</w:t>
      </w:r>
    </w:p>
    <w:p w:rsidR="009041EB" w:rsidRPr="001B2353" w:rsidRDefault="009041EB" w:rsidP="00357BFD">
      <w:pPr>
        <w:shd w:val="clear" w:color="auto" w:fill="FFFFFF"/>
        <w:spacing w:line="360" w:lineRule="auto"/>
        <w:ind w:firstLine="348"/>
        <w:jc w:val="both"/>
        <w:rPr>
          <w:rFonts w:asciiTheme="minorHAnsi" w:hAnsiTheme="minorHAnsi" w:cs="Arial"/>
          <w:sz w:val="22"/>
          <w:szCs w:val="22"/>
          <w:highlight w:val="yellow"/>
        </w:rPr>
      </w:pPr>
    </w:p>
    <w:p w:rsidR="003D0C1B" w:rsidRPr="001B2353" w:rsidRDefault="003C0976" w:rsidP="00736DE3">
      <w:pPr>
        <w:spacing w:line="360" w:lineRule="auto"/>
        <w:ind w:firstLine="348"/>
        <w:jc w:val="both"/>
        <w:rPr>
          <w:rFonts w:asciiTheme="minorHAnsi" w:hAnsiTheme="minorHAnsi" w:cs="Arial"/>
          <w:sz w:val="22"/>
          <w:szCs w:val="22"/>
        </w:rPr>
      </w:pPr>
      <w:r w:rsidRPr="001B2353">
        <w:rPr>
          <w:rFonts w:asciiTheme="minorHAnsi" w:hAnsiTheme="minorHAnsi" w:cs="Arial"/>
          <w:sz w:val="22"/>
          <w:szCs w:val="22"/>
        </w:rPr>
        <w:tab/>
      </w:r>
      <w:r w:rsidR="00736DE3" w:rsidRPr="001B2353">
        <w:rPr>
          <w:rFonts w:asciiTheme="minorHAnsi" w:hAnsiTheme="minorHAnsi" w:cs="Arial"/>
          <w:sz w:val="22"/>
          <w:szCs w:val="22"/>
        </w:rPr>
        <w:t>Do powiatowych urzędów pracy województwa dolnośląskiego wpłynęły w 2013 r. 72062 oferty pracy. Dla porównania – w 2012 r. odnotowano napływ 63645 ofert zatrudnienia. Największą liczba ofert pracy pochodziła z sekcji C „przetwórstwo przemysłowe” (11244, tj. 15,6% ofert), sekcji N „działalność w zakresie usług administrowania i działalność wspierająca”, z której pochodziło 10971 ofert, tj. 15,2% ofert zatrudnienia, sekcji G „handel hurtowy I detaliczny, naprawy pojazdów samochodowych, włączając motocykle”, z której wpłynęło 10570 ofert, tj. 14,7% wszystkich ofert oraz  sekcji O „administracja publiczna i obrona narodowa (8084  ofert, tj. 11,2% wszystkich ofert – należy przy tym wziąć pod uwagę fakt, że wśród ofert z tej sekcji były 7444 oferty zatrudnienia subsydiowanego). Z tych czterech sekcji pochodziła ponad połowa (56,7%) wszystkich ofert pracy, jakie wpłynęły w 2013 r.</w:t>
      </w:r>
    </w:p>
    <w:p w:rsidR="003D0C1B" w:rsidRDefault="003D0C1B" w:rsidP="00736DE3">
      <w:pPr>
        <w:spacing w:line="360" w:lineRule="auto"/>
        <w:ind w:firstLine="348"/>
        <w:jc w:val="both"/>
        <w:rPr>
          <w:rFonts w:asciiTheme="minorHAnsi" w:hAnsiTheme="minorHAnsi" w:cs="Arial"/>
          <w:sz w:val="22"/>
          <w:szCs w:val="22"/>
        </w:rPr>
      </w:pPr>
    </w:p>
    <w:p w:rsidR="00FB4E54" w:rsidRPr="001B2353" w:rsidRDefault="00FB4E54" w:rsidP="00736DE3">
      <w:pPr>
        <w:spacing w:line="360" w:lineRule="auto"/>
        <w:ind w:firstLine="348"/>
        <w:jc w:val="both"/>
        <w:rPr>
          <w:rFonts w:asciiTheme="minorHAnsi" w:hAnsiTheme="minorHAnsi" w:cs="Arial"/>
          <w:sz w:val="22"/>
          <w:szCs w:val="22"/>
        </w:rPr>
      </w:pPr>
    </w:p>
    <w:p w:rsidR="00736DE3" w:rsidRPr="001B2353" w:rsidRDefault="00736DE3" w:rsidP="00736DE3">
      <w:pPr>
        <w:spacing w:line="360" w:lineRule="auto"/>
        <w:ind w:firstLine="348"/>
        <w:jc w:val="both"/>
        <w:rPr>
          <w:rFonts w:asciiTheme="minorHAnsi" w:hAnsiTheme="minorHAnsi" w:cs="Arial"/>
          <w:sz w:val="22"/>
          <w:szCs w:val="22"/>
        </w:rPr>
      </w:pPr>
      <w:r w:rsidRPr="001B2353">
        <w:rPr>
          <w:rFonts w:asciiTheme="minorHAnsi" w:hAnsiTheme="minorHAnsi" w:cs="Arial"/>
          <w:sz w:val="22"/>
          <w:szCs w:val="22"/>
        </w:rPr>
        <w:lastRenderedPageBreak/>
        <w:t>Napływ ofert pracy wg sekcji PKD) przedstawia poniższy wykres.</w:t>
      </w:r>
    </w:p>
    <w:p w:rsidR="007F32E7" w:rsidRPr="001B2353" w:rsidRDefault="00736DE3" w:rsidP="00736DE3">
      <w:pPr>
        <w:spacing w:line="360" w:lineRule="auto"/>
        <w:ind w:firstLine="348"/>
        <w:jc w:val="center"/>
        <w:rPr>
          <w:rFonts w:asciiTheme="minorHAnsi" w:hAnsiTheme="minorHAnsi" w:cs="Arial"/>
          <w:sz w:val="22"/>
          <w:szCs w:val="22"/>
          <w:highlight w:val="yellow"/>
        </w:rPr>
      </w:pPr>
      <w:r w:rsidRPr="001B2353">
        <w:rPr>
          <w:rFonts w:asciiTheme="minorHAnsi" w:hAnsiTheme="minorHAnsi"/>
          <w:noProof/>
          <w:sz w:val="22"/>
          <w:szCs w:val="22"/>
        </w:rPr>
        <w:drawing>
          <wp:inline distT="0" distB="0" distL="0" distR="0" wp14:anchorId="4CFACE36" wp14:editId="4CC5C642">
            <wp:extent cx="5103628" cy="6240780"/>
            <wp:effectExtent l="0" t="0" r="0" b="0"/>
            <wp:docPr id="28" name="Wykres 2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7F32E7" w:rsidRPr="001B2353" w:rsidRDefault="007F32E7" w:rsidP="00357BFD">
      <w:pPr>
        <w:spacing w:line="360" w:lineRule="auto"/>
        <w:jc w:val="center"/>
        <w:rPr>
          <w:rFonts w:asciiTheme="minorHAnsi" w:hAnsiTheme="minorHAnsi" w:cs="Arial"/>
          <w:i/>
          <w:sz w:val="22"/>
          <w:szCs w:val="22"/>
        </w:rPr>
      </w:pPr>
      <w:r w:rsidRPr="001B2353">
        <w:rPr>
          <w:rFonts w:asciiTheme="minorHAnsi" w:hAnsiTheme="minorHAnsi" w:cs="Arial"/>
          <w:i/>
          <w:sz w:val="22"/>
          <w:szCs w:val="22"/>
        </w:rPr>
        <w:t xml:space="preserve">Na podstawie Załącznika 2 do sprawozdania </w:t>
      </w:r>
      <w:proofErr w:type="spellStart"/>
      <w:r w:rsidRPr="001B2353">
        <w:rPr>
          <w:rFonts w:asciiTheme="minorHAnsi" w:hAnsiTheme="minorHAnsi" w:cs="Arial"/>
          <w:i/>
          <w:sz w:val="22"/>
          <w:szCs w:val="22"/>
        </w:rPr>
        <w:t>MPiPS</w:t>
      </w:r>
      <w:proofErr w:type="spellEnd"/>
      <w:r w:rsidRPr="001B2353">
        <w:rPr>
          <w:rFonts w:asciiTheme="minorHAnsi" w:hAnsiTheme="minorHAnsi" w:cs="Arial"/>
          <w:i/>
          <w:sz w:val="22"/>
          <w:szCs w:val="22"/>
        </w:rPr>
        <w:t xml:space="preserve"> -01 za I </w:t>
      </w:r>
      <w:proofErr w:type="spellStart"/>
      <w:r w:rsidRPr="001B2353">
        <w:rPr>
          <w:rFonts w:asciiTheme="minorHAnsi" w:hAnsiTheme="minorHAnsi" w:cs="Arial"/>
          <w:i/>
          <w:sz w:val="22"/>
          <w:szCs w:val="22"/>
        </w:rPr>
        <w:t>i</w:t>
      </w:r>
      <w:proofErr w:type="spellEnd"/>
      <w:r w:rsidRPr="001B2353">
        <w:rPr>
          <w:rFonts w:asciiTheme="minorHAnsi" w:hAnsiTheme="minorHAnsi" w:cs="Arial"/>
          <w:i/>
          <w:sz w:val="22"/>
          <w:szCs w:val="22"/>
        </w:rPr>
        <w:t xml:space="preserve"> II półrocze 201</w:t>
      </w:r>
      <w:r w:rsidR="00736DE3" w:rsidRPr="001B2353">
        <w:rPr>
          <w:rFonts w:asciiTheme="minorHAnsi" w:hAnsiTheme="minorHAnsi" w:cs="Arial"/>
          <w:i/>
          <w:sz w:val="22"/>
          <w:szCs w:val="22"/>
        </w:rPr>
        <w:t>3</w:t>
      </w:r>
      <w:r w:rsidRPr="001B2353">
        <w:rPr>
          <w:rFonts w:asciiTheme="minorHAnsi" w:hAnsiTheme="minorHAnsi" w:cs="Arial"/>
          <w:i/>
          <w:sz w:val="22"/>
          <w:szCs w:val="22"/>
        </w:rPr>
        <w:t xml:space="preserve"> r.</w:t>
      </w:r>
    </w:p>
    <w:p w:rsidR="007F32E7" w:rsidRPr="001B2353" w:rsidRDefault="007F32E7" w:rsidP="00357BFD">
      <w:pPr>
        <w:spacing w:line="360" w:lineRule="auto"/>
        <w:jc w:val="center"/>
        <w:rPr>
          <w:rFonts w:asciiTheme="minorHAnsi" w:hAnsiTheme="minorHAnsi" w:cs="Arial"/>
          <w:sz w:val="22"/>
          <w:szCs w:val="22"/>
        </w:rPr>
      </w:pPr>
    </w:p>
    <w:p w:rsidR="00736DE3" w:rsidRPr="001B2353" w:rsidRDefault="00B55F47" w:rsidP="00736DE3">
      <w:pPr>
        <w:spacing w:line="360" w:lineRule="auto"/>
        <w:ind w:firstLine="348"/>
        <w:jc w:val="both"/>
        <w:rPr>
          <w:rFonts w:asciiTheme="minorHAnsi" w:hAnsiTheme="minorHAnsi" w:cs="Arial"/>
          <w:sz w:val="22"/>
          <w:szCs w:val="22"/>
        </w:rPr>
      </w:pPr>
      <w:r w:rsidRPr="001B2353">
        <w:rPr>
          <w:rFonts w:asciiTheme="minorHAnsi" w:hAnsiTheme="minorHAnsi" w:cs="Arial"/>
          <w:sz w:val="22"/>
          <w:szCs w:val="22"/>
        </w:rPr>
        <w:tab/>
      </w:r>
      <w:r w:rsidR="00736DE3" w:rsidRPr="001B2353">
        <w:rPr>
          <w:rFonts w:asciiTheme="minorHAnsi" w:hAnsiTheme="minorHAnsi" w:cs="Arial"/>
          <w:sz w:val="22"/>
          <w:szCs w:val="22"/>
        </w:rPr>
        <w:t>Z analizy napływu ofert pracy w rozbiciu na wielkie grupy zawodowe wynika, że największa liczba ofert w 2013 r. dotyczyła pracy w grupie zawodów pracownicy usług i sprzedawcy (18823 oferty, tj. 26,1% wszystkich ofert zatrudnienia i aktywizacji zawodowej). W ramach wielkiej</w:t>
      </w:r>
      <w:r w:rsidR="001B2353" w:rsidRPr="001B2353">
        <w:rPr>
          <w:rFonts w:asciiTheme="minorHAnsi" w:hAnsiTheme="minorHAnsi" w:cs="Arial"/>
          <w:sz w:val="22"/>
          <w:szCs w:val="22"/>
        </w:rPr>
        <w:t xml:space="preserve"> grupy „robotnicy przemysłowi i </w:t>
      </w:r>
      <w:r w:rsidR="00736DE3" w:rsidRPr="001B2353">
        <w:rPr>
          <w:rFonts w:asciiTheme="minorHAnsi" w:hAnsiTheme="minorHAnsi" w:cs="Arial"/>
          <w:sz w:val="22"/>
          <w:szCs w:val="22"/>
        </w:rPr>
        <w:t>rzemieślnicy” wpłynęło 13489 ofert (18,7%  wszystkich ofert) w ramach te</w:t>
      </w:r>
      <w:r w:rsidR="001B2353" w:rsidRPr="001B2353">
        <w:rPr>
          <w:rFonts w:asciiTheme="minorHAnsi" w:hAnsiTheme="minorHAnsi" w:cs="Arial"/>
          <w:sz w:val="22"/>
          <w:szCs w:val="22"/>
        </w:rPr>
        <w:t>j wielkiej grupy zawodowej, a w </w:t>
      </w:r>
      <w:r w:rsidR="00736DE3" w:rsidRPr="001B2353">
        <w:rPr>
          <w:rFonts w:asciiTheme="minorHAnsi" w:hAnsiTheme="minorHAnsi" w:cs="Arial"/>
          <w:sz w:val="22"/>
          <w:szCs w:val="22"/>
        </w:rPr>
        <w:t xml:space="preserve">ramach grupy „pracownicy przy pracach prostych” wpłynęło 11779 ofert (16,3%). W tych trzech wielkich grupach zawodowych wpłynęło 61,2% wszystkich ofert zatrudnienia zgłoszonych w  2013 r. W ramach wielkiej grupy zawodowej „siły zbrojne” wpłynęła tylko jedna oferta pracy. Napływ niewielkiej </w:t>
      </w:r>
      <w:r w:rsidR="00736DE3" w:rsidRPr="001B2353">
        <w:rPr>
          <w:rFonts w:asciiTheme="minorHAnsi" w:hAnsiTheme="minorHAnsi" w:cs="Arial"/>
          <w:sz w:val="22"/>
          <w:szCs w:val="22"/>
        </w:rPr>
        <w:lastRenderedPageBreak/>
        <w:t>liczby ofert pracy odnotowano także w wielkich grupach zawodowych „przedstawiciele władz publicznych, wyżsi urzędnicy” (615 ofert) oraz  „rolnicy, ogrodnicy, leśnicy i rybacy”  (652 oferty).</w:t>
      </w:r>
    </w:p>
    <w:p w:rsidR="00736DE3" w:rsidRPr="001B2353" w:rsidRDefault="00736DE3" w:rsidP="00736DE3">
      <w:pPr>
        <w:spacing w:line="360" w:lineRule="auto"/>
        <w:jc w:val="both"/>
        <w:rPr>
          <w:rFonts w:asciiTheme="minorHAnsi" w:hAnsiTheme="minorHAnsi" w:cs="Arial"/>
          <w:sz w:val="22"/>
          <w:szCs w:val="22"/>
        </w:rPr>
      </w:pPr>
      <w:r w:rsidRPr="001B2353">
        <w:rPr>
          <w:rFonts w:asciiTheme="minorHAnsi" w:hAnsiTheme="minorHAnsi" w:cs="Arial"/>
          <w:sz w:val="22"/>
          <w:szCs w:val="22"/>
        </w:rPr>
        <w:t>Na poziomie wielkich grup zawodowych rozkład ofert pracy przedstawia się następująco:</w:t>
      </w:r>
    </w:p>
    <w:p w:rsidR="003D0C1B" w:rsidRPr="001B2353" w:rsidRDefault="003D0C1B" w:rsidP="00736DE3">
      <w:pPr>
        <w:spacing w:line="360" w:lineRule="auto"/>
        <w:jc w:val="both"/>
        <w:rPr>
          <w:rFonts w:asciiTheme="minorHAnsi" w:hAnsiTheme="minorHAnsi" w:cs="Arial"/>
          <w:sz w:val="22"/>
          <w:szCs w:val="22"/>
        </w:rPr>
      </w:pPr>
    </w:p>
    <w:p w:rsidR="00736DE3" w:rsidRPr="001B2353" w:rsidRDefault="00736DE3" w:rsidP="00736DE3">
      <w:pPr>
        <w:spacing w:line="360" w:lineRule="auto"/>
        <w:jc w:val="center"/>
        <w:rPr>
          <w:rFonts w:asciiTheme="minorHAnsi" w:hAnsiTheme="minorHAnsi" w:cs="Arial"/>
          <w:sz w:val="22"/>
          <w:szCs w:val="22"/>
          <w:highlight w:val="yellow"/>
        </w:rPr>
      </w:pPr>
      <w:r w:rsidRPr="001B2353">
        <w:rPr>
          <w:rFonts w:asciiTheme="minorHAnsi" w:hAnsiTheme="minorHAnsi"/>
          <w:noProof/>
          <w:sz w:val="22"/>
          <w:szCs w:val="22"/>
        </w:rPr>
        <w:drawing>
          <wp:inline distT="0" distB="0" distL="0" distR="0" wp14:anchorId="5A53A73E" wp14:editId="5643EA7C">
            <wp:extent cx="5671256" cy="4178300"/>
            <wp:effectExtent l="0" t="0" r="0" b="0"/>
            <wp:docPr id="29" name="Wykres 2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7F32E7" w:rsidRPr="001B2353" w:rsidRDefault="007F32E7" w:rsidP="00736DE3">
      <w:pPr>
        <w:spacing w:line="360" w:lineRule="auto"/>
        <w:ind w:firstLine="348"/>
        <w:jc w:val="both"/>
        <w:rPr>
          <w:rFonts w:asciiTheme="minorHAnsi" w:hAnsiTheme="minorHAnsi" w:cs="Arial"/>
          <w:sz w:val="22"/>
          <w:szCs w:val="22"/>
        </w:rPr>
      </w:pPr>
    </w:p>
    <w:p w:rsidR="002F1151" w:rsidRPr="001B2353" w:rsidRDefault="002F1151" w:rsidP="003C0976">
      <w:pPr>
        <w:jc w:val="both"/>
        <w:rPr>
          <w:rFonts w:asciiTheme="minorHAnsi" w:hAnsiTheme="minorHAnsi" w:cs="Arial"/>
          <w:sz w:val="22"/>
          <w:szCs w:val="22"/>
        </w:rPr>
      </w:pPr>
      <w:r w:rsidRPr="001B2353">
        <w:rPr>
          <w:rFonts w:asciiTheme="minorHAnsi" w:hAnsiTheme="minorHAnsi" w:cs="Arial"/>
          <w:sz w:val="22"/>
          <w:szCs w:val="22"/>
        </w:rPr>
        <w:t xml:space="preserve">Zestawienie porównawcze liczby zgłoszonych wolnych miejsc pracy w okresie 12 miesięcy </w:t>
      </w:r>
      <w:r w:rsidR="00736DE3" w:rsidRPr="001B2353">
        <w:rPr>
          <w:rFonts w:asciiTheme="minorHAnsi" w:hAnsiTheme="minorHAnsi" w:cs="Arial"/>
          <w:sz w:val="22"/>
          <w:szCs w:val="22"/>
        </w:rPr>
        <w:t xml:space="preserve">2013 r. </w:t>
      </w:r>
      <w:r w:rsidRPr="001B2353">
        <w:rPr>
          <w:rFonts w:asciiTheme="minorHAnsi" w:hAnsiTheme="minorHAnsi" w:cs="Arial"/>
          <w:sz w:val="22"/>
          <w:szCs w:val="22"/>
        </w:rPr>
        <w:t>przedstawia poniższy wykres:</w:t>
      </w:r>
    </w:p>
    <w:p w:rsidR="00EC1D45" w:rsidRPr="001B2353" w:rsidRDefault="00736DE3" w:rsidP="00CF2589">
      <w:pPr>
        <w:spacing w:line="360" w:lineRule="auto"/>
        <w:jc w:val="center"/>
        <w:rPr>
          <w:rFonts w:asciiTheme="minorHAnsi" w:hAnsiTheme="minorHAnsi" w:cs="Arial"/>
          <w:sz w:val="22"/>
          <w:szCs w:val="22"/>
        </w:rPr>
      </w:pPr>
      <w:r w:rsidRPr="001B2353">
        <w:rPr>
          <w:rFonts w:asciiTheme="minorHAnsi" w:hAnsiTheme="minorHAnsi"/>
          <w:noProof/>
          <w:sz w:val="22"/>
          <w:szCs w:val="22"/>
        </w:rPr>
        <w:drawing>
          <wp:inline distT="0" distB="0" distL="0" distR="0" wp14:anchorId="068785A5" wp14:editId="181EC251">
            <wp:extent cx="5472546" cy="3366654"/>
            <wp:effectExtent l="0" t="0" r="0" b="5715"/>
            <wp:docPr id="32" name="Wykres 3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186D96" w:rsidRPr="001B2353" w:rsidRDefault="00186D96" w:rsidP="00357BFD">
      <w:pPr>
        <w:spacing w:line="360" w:lineRule="auto"/>
        <w:jc w:val="both"/>
        <w:rPr>
          <w:rFonts w:asciiTheme="minorHAnsi" w:hAnsiTheme="minorHAnsi" w:cs="Arial"/>
          <w:b/>
          <w:sz w:val="22"/>
          <w:szCs w:val="22"/>
        </w:rPr>
      </w:pPr>
      <w:r w:rsidRPr="001B2353">
        <w:rPr>
          <w:rFonts w:asciiTheme="minorHAnsi" w:hAnsiTheme="minorHAnsi" w:cs="Arial"/>
          <w:b/>
          <w:sz w:val="22"/>
          <w:szCs w:val="22"/>
        </w:rPr>
        <w:lastRenderedPageBreak/>
        <w:t>Stopa bezrobocia</w:t>
      </w:r>
    </w:p>
    <w:p w:rsidR="006756EC" w:rsidRPr="001B2353" w:rsidRDefault="003C0976" w:rsidP="006756EC">
      <w:pPr>
        <w:spacing w:line="360" w:lineRule="auto"/>
        <w:ind w:firstLine="348"/>
        <w:jc w:val="both"/>
        <w:rPr>
          <w:rFonts w:asciiTheme="minorHAnsi" w:hAnsiTheme="minorHAnsi" w:cs="Arial"/>
          <w:sz w:val="22"/>
          <w:szCs w:val="22"/>
        </w:rPr>
      </w:pPr>
      <w:r w:rsidRPr="001B2353">
        <w:rPr>
          <w:rFonts w:asciiTheme="minorHAnsi" w:hAnsiTheme="minorHAnsi" w:cs="Arial"/>
          <w:sz w:val="22"/>
          <w:szCs w:val="22"/>
        </w:rPr>
        <w:tab/>
      </w:r>
      <w:r w:rsidR="006756EC" w:rsidRPr="001B2353">
        <w:rPr>
          <w:rFonts w:asciiTheme="minorHAnsi" w:hAnsiTheme="minorHAnsi" w:cs="Arial"/>
          <w:sz w:val="22"/>
          <w:szCs w:val="22"/>
        </w:rPr>
        <w:t>Według danych GUS stopa bezrobocia rejestrowanego w województwie dolnośląskim wynosiła na</w:t>
      </w:r>
      <w:r w:rsidR="006756EC" w:rsidRPr="001B2353">
        <w:rPr>
          <w:rFonts w:asciiTheme="minorHAnsi" w:hAnsiTheme="minorHAnsi" w:cs="Arial"/>
          <w:b/>
          <w:sz w:val="22"/>
          <w:szCs w:val="22"/>
        </w:rPr>
        <w:t xml:space="preserve"> </w:t>
      </w:r>
      <w:r w:rsidR="006756EC" w:rsidRPr="001B2353">
        <w:rPr>
          <w:rFonts w:asciiTheme="minorHAnsi" w:hAnsiTheme="minorHAnsi" w:cs="Arial"/>
          <w:sz w:val="22"/>
          <w:szCs w:val="22"/>
        </w:rPr>
        <w:t>k</w:t>
      </w:r>
      <w:r w:rsidR="00FB4E54">
        <w:rPr>
          <w:rFonts w:asciiTheme="minorHAnsi" w:hAnsiTheme="minorHAnsi" w:cs="Arial"/>
          <w:sz w:val="22"/>
          <w:szCs w:val="22"/>
        </w:rPr>
        <w:t>oniec grudnia 2013 roku 13,2% .</w:t>
      </w:r>
      <w:r w:rsidR="006756EC" w:rsidRPr="001B2353">
        <w:rPr>
          <w:rFonts w:asciiTheme="minorHAnsi" w:hAnsiTheme="minorHAnsi" w:cs="Arial"/>
          <w:sz w:val="22"/>
          <w:szCs w:val="22"/>
        </w:rPr>
        <w:t xml:space="preserve">W kraju wskaźnik bezrobocia kształtował się na poziomie 13,4%. </w:t>
      </w:r>
      <w:r w:rsidR="006756EC" w:rsidRPr="001B2353">
        <w:rPr>
          <w:rFonts w:asciiTheme="minorHAnsi" w:hAnsiTheme="minorHAnsi" w:cs="Arial"/>
          <w:b/>
          <w:sz w:val="22"/>
          <w:szCs w:val="22"/>
        </w:rPr>
        <w:t>W grudniu 2013 roku stopa bezrobocia na Dolnym Śląsku była o 0,2 p</w:t>
      </w:r>
      <w:r w:rsidR="00031F5F">
        <w:rPr>
          <w:rFonts w:asciiTheme="minorHAnsi" w:hAnsiTheme="minorHAnsi" w:cs="Arial"/>
          <w:b/>
          <w:sz w:val="22"/>
          <w:szCs w:val="22"/>
        </w:rPr>
        <w:t>unktu procentowego niższa niż w </w:t>
      </w:r>
      <w:r w:rsidR="006756EC" w:rsidRPr="001B2353">
        <w:rPr>
          <w:rFonts w:asciiTheme="minorHAnsi" w:hAnsiTheme="minorHAnsi" w:cs="Arial"/>
          <w:b/>
          <w:sz w:val="22"/>
          <w:szCs w:val="22"/>
        </w:rPr>
        <w:t>kraju.</w:t>
      </w:r>
      <w:r w:rsidR="006756EC" w:rsidRPr="001B2353">
        <w:rPr>
          <w:rFonts w:asciiTheme="minorHAnsi" w:hAnsiTheme="minorHAnsi" w:cs="Arial"/>
          <w:sz w:val="22"/>
          <w:szCs w:val="22"/>
        </w:rPr>
        <w:t xml:space="preserve"> </w:t>
      </w:r>
    </w:p>
    <w:p w:rsidR="006756EC" w:rsidRPr="001B2353" w:rsidRDefault="006756EC" w:rsidP="006756EC">
      <w:pPr>
        <w:spacing w:line="360" w:lineRule="auto"/>
        <w:ind w:firstLine="348"/>
        <w:jc w:val="both"/>
        <w:rPr>
          <w:rFonts w:asciiTheme="minorHAnsi" w:hAnsiTheme="minorHAnsi" w:cs="Arial"/>
          <w:sz w:val="22"/>
          <w:szCs w:val="22"/>
        </w:rPr>
      </w:pPr>
      <w:r w:rsidRPr="001B2353">
        <w:rPr>
          <w:rFonts w:asciiTheme="minorHAnsi" w:hAnsiTheme="minorHAnsi" w:cs="Arial"/>
          <w:sz w:val="22"/>
          <w:szCs w:val="22"/>
        </w:rPr>
        <w:t>W porównaniu do stanu na koniec grudnia 2012 r. stopa bezrobocia w województwie dolnośląskim była mniejsza o 0,3 punktu procentowego (na koniec grudnia 2012 r. kształtowała się na poziomie 13,5%). W</w:t>
      </w:r>
      <w:r w:rsidR="001B2353" w:rsidRPr="001B2353">
        <w:rPr>
          <w:rFonts w:asciiTheme="minorHAnsi" w:hAnsiTheme="minorHAnsi" w:cs="Arial"/>
          <w:iCs/>
          <w:sz w:val="22"/>
          <w:szCs w:val="22"/>
        </w:rPr>
        <w:t> </w:t>
      </w:r>
      <w:r w:rsidRPr="001B2353">
        <w:rPr>
          <w:rFonts w:asciiTheme="minorHAnsi" w:hAnsiTheme="minorHAnsi" w:cs="Arial"/>
          <w:iCs/>
          <w:sz w:val="22"/>
          <w:szCs w:val="22"/>
        </w:rPr>
        <w:t>okresie od grudnia 2011 r. do grudnia 2012 roku stopa bezrobocia wzrosła o 1,1 punktu procentowego.</w:t>
      </w:r>
      <w:r w:rsidRPr="001B2353">
        <w:rPr>
          <w:rFonts w:asciiTheme="minorHAnsi" w:hAnsiTheme="minorHAnsi" w:cs="Arial"/>
          <w:sz w:val="22"/>
          <w:szCs w:val="22"/>
        </w:rPr>
        <w:t xml:space="preserve"> </w:t>
      </w:r>
    </w:p>
    <w:p w:rsidR="006756EC" w:rsidRPr="001B2353" w:rsidRDefault="006756EC" w:rsidP="006756EC">
      <w:pPr>
        <w:spacing w:line="360" w:lineRule="auto"/>
        <w:ind w:firstLine="348"/>
        <w:jc w:val="both"/>
        <w:rPr>
          <w:rFonts w:asciiTheme="minorHAnsi" w:hAnsiTheme="minorHAnsi" w:cs="Arial"/>
          <w:sz w:val="22"/>
          <w:szCs w:val="22"/>
        </w:rPr>
      </w:pPr>
      <w:r w:rsidRPr="001B2353">
        <w:rPr>
          <w:rFonts w:asciiTheme="minorHAnsi" w:hAnsiTheme="minorHAnsi" w:cs="Arial"/>
          <w:sz w:val="22"/>
          <w:szCs w:val="22"/>
        </w:rPr>
        <w:t>Tendencje zmian stopy bezrobocia w województwie dolnośląskim na tle kraju w grudniu w latach 2001 – 2013 ilustruje poniższy wykres:</w:t>
      </w:r>
    </w:p>
    <w:p w:rsidR="006756EC" w:rsidRPr="001B2353" w:rsidRDefault="006756EC" w:rsidP="006756EC">
      <w:pPr>
        <w:spacing w:line="360" w:lineRule="auto"/>
        <w:jc w:val="center"/>
        <w:rPr>
          <w:rFonts w:asciiTheme="minorHAnsi" w:hAnsiTheme="minorHAnsi"/>
          <w:b/>
          <w:sz w:val="22"/>
          <w:szCs w:val="22"/>
          <w:highlight w:val="yellow"/>
        </w:rPr>
      </w:pPr>
      <w:r w:rsidRPr="001B2353">
        <w:rPr>
          <w:rFonts w:asciiTheme="minorHAnsi" w:hAnsiTheme="minorHAnsi"/>
          <w:noProof/>
          <w:sz w:val="22"/>
          <w:szCs w:val="22"/>
        </w:rPr>
        <w:drawing>
          <wp:inline distT="0" distB="0" distL="0" distR="0" wp14:anchorId="6F1159D1" wp14:editId="07AF9034">
            <wp:extent cx="6059362" cy="3076575"/>
            <wp:effectExtent l="0" t="0" r="0" b="0"/>
            <wp:docPr id="3" name="Wykres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6756EC" w:rsidRPr="001B2353" w:rsidRDefault="006756EC" w:rsidP="006756EC">
      <w:pPr>
        <w:spacing w:line="360" w:lineRule="auto"/>
        <w:ind w:firstLine="708"/>
        <w:jc w:val="both"/>
        <w:rPr>
          <w:rFonts w:asciiTheme="minorHAnsi" w:hAnsiTheme="minorHAnsi" w:cs="Arial"/>
          <w:sz w:val="22"/>
          <w:szCs w:val="22"/>
        </w:rPr>
      </w:pPr>
      <w:r w:rsidRPr="001B2353">
        <w:rPr>
          <w:rFonts w:asciiTheme="minorHAnsi" w:hAnsiTheme="minorHAnsi" w:cs="Arial"/>
          <w:sz w:val="22"/>
          <w:szCs w:val="22"/>
        </w:rPr>
        <w:t xml:space="preserve">W końcu grudnia 2013 roku wyższy wskaźnik bezrobocia niż w województwie dolnośląskim zanotowano w województwach: </w:t>
      </w:r>
    </w:p>
    <w:p w:rsidR="006756EC" w:rsidRPr="001B2353" w:rsidRDefault="006756EC" w:rsidP="006756EC">
      <w:pPr>
        <w:spacing w:line="360" w:lineRule="auto"/>
        <w:ind w:left="1764" w:firstLine="360"/>
        <w:jc w:val="both"/>
        <w:rPr>
          <w:rFonts w:asciiTheme="minorHAnsi" w:hAnsiTheme="minorHAnsi" w:cs="Arial"/>
          <w:sz w:val="22"/>
          <w:szCs w:val="22"/>
        </w:rPr>
      </w:pPr>
      <w:r w:rsidRPr="001B2353">
        <w:rPr>
          <w:rFonts w:asciiTheme="minorHAnsi" w:hAnsiTheme="minorHAnsi" w:cs="Arial"/>
          <w:sz w:val="22"/>
          <w:szCs w:val="22"/>
        </w:rPr>
        <w:t xml:space="preserve">warmińsko-mazurskim </w:t>
      </w:r>
      <w:r w:rsidRPr="001B2353">
        <w:rPr>
          <w:rFonts w:asciiTheme="minorHAnsi" w:hAnsiTheme="minorHAnsi" w:cs="Arial"/>
          <w:sz w:val="22"/>
          <w:szCs w:val="22"/>
        </w:rPr>
        <w:tab/>
      </w:r>
      <w:r w:rsidRPr="001B2353">
        <w:rPr>
          <w:rFonts w:asciiTheme="minorHAnsi" w:hAnsiTheme="minorHAnsi" w:cs="Arial"/>
          <w:sz w:val="22"/>
          <w:szCs w:val="22"/>
        </w:rPr>
        <w:tab/>
      </w:r>
      <w:r w:rsidRPr="001B2353">
        <w:rPr>
          <w:rFonts w:asciiTheme="minorHAnsi" w:hAnsiTheme="minorHAnsi" w:cs="Arial"/>
          <w:sz w:val="22"/>
          <w:szCs w:val="22"/>
        </w:rPr>
        <w:tab/>
        <w:t xml:space="preserve"> (21,7%)</w:t>
      </w:r>
    </w:p>
    <w:p w:rsidR="006756EC" w:rsidRPr="001B2353" w:rsidRDefault="006756EC" w:rsidP="006756EC">
      <w:pPr>
        <w:spacing w:line="360" w:lineRule="auto"/>
        <w:ind w:left="1764" w:firstLine="360"/>
        <w:jc w:val="both"/>
        <w:rPr>
          <w:rFonts w:asciiTheme="minorHAnsi" w:hAnsiTheme="minorHAnsi" w:cs="Arial"/>
          <w:sz w:val="22"/>
          <w:szCs w:val="22"/>
        </w:rPr>
      </w:pPr>
      <w:r w:rsidRPr="001B2353">
        <w:rPr>
          <w:rFonts w:asciiTheme="minorHAnsi" w:hAnsiTheme="minorHAnsi" w:cs="Arial"/>
          <w:sz w:val="22"/>
          <w:szCs w:val="22"/>
        </w:rPr>
        <w:t xml:space="preserve">kujawsko-pomorskim </w:t>
      </w:r>
      <w:r w:rsidRPr="001B2353">
        <w:rPr>
          <w:rFonts w:asciiTheme="minorHAnsi" w:hAnsiTheme="minorHAnsi" w:cs="Arial"/>
          <w:sz w:val="22"/>
          <w:szCs w:val="22"/>
        </w:rPr>
        <w:tab/>
      </w:r>
      <w:r w:rsidRPr="001B2353">
        <w:rPr>
          <w:rFonts w:asciiTheme="minorHAnsi" w:hAnsiTheme="minorHAnsi" w:cs="Arial"/>
          <w:sz w:val="22"/>
          <w:szCs w:val="22"/>
        </w:rPr>
        <w:tab/>
      </w:r>
      <w:r w:rsidRPr="001B2353">
        <w:rPr>
          <w:rFonts w:asciiTheme="minorHAnsi" w:hAnsiTheme="minorHAnsi" w:cs="Arial"/>
          <w:sz w:val="22"/>
          <w:szCs w:val="22"/>
        </w:rPr>
        <w:tab/>
        <w:t xml:space="preserve"> (18,1%)</w:t>
      </w:r>
    </w:p>
    <w:p w:rsidR="006756EC" w:rsidRPr="001B2353" w:rsidRDefault="006756EC" w:rsidP="006756EC">
      <w:pPr>
        <w:spacing w:line="360" w:lineRule="auto"/>
        <w:ind w:left="1764" w:firstLine="360"/>
        <w:jc w:val="both"/>
        <w:rPr>
          <w:rFonts w:asciiTheme="minorHAnsi" w:hAnsiTheme="minorHAnsi" w:cs="Arial"/>
          <w:sz w:val="22"/>
          <w:szCs w:val="22"/>
        </w:rPr>
      </w:pPr>
      <w:r w:rsidRPr="001B2353">
        <w:rPr>
          <w:rFonts w:asciiTheme="minorHAnsi" w:hAnsiTheme="minorHAnsi" w:cs="Arial"/>
          <w:sz w:val="22"/>
          <w:szCs w:val="22"/>
        </w:rPr>
        <w:t xml:space="preserve">zachodniopomorskim </w:t>
      </w:r>
      <w:r w:rsidRPr="001B2353">
        <w:rPr>
          <w:rFonts w:asciiTheme="minorHAnsi" w:hAnsiTheme="minorHAnsi" w:cs="Arial"/>
          <w:sz w:val="22"/>
          <w:szCs w:val="22"/>
        </w:rPr>
        <w:tab/>
      </w:r>
      <w:r w:rsidRPr="001B2353">
        <w:rPr>
          <w:rFonts w:asciiTheme="minorHAnsi" w:hAnsiTheme="minorHAnsi" w:cs="Arial"/>
          <w:sz w:val="22"/>
          <w:szCs w:val="22"/>
        </w:rPr>
        <w:tab/>
      </w:r>
      <w:r w:rsidRPr="001B2353">
        <w:rPr>
          <w:rFonts w:asciiTheme="minorHAnsi" w:hAnsiTheme="minorHAnsi" w:cs="Arial"/>
          <w:sz w:val="22"/>
          <w:szCs w:val="22"/>
        </w:rPr>
        <w:tab/>
        <w:t xml:space="preserve"> (18,0%)</w:t>
      </w:r>
    </w:p>
    <w:p w:rsidR="006756EC" w:rsidRPr="001B2353" w:rsidRDefault="006756EC" w:rsidP="006756EC">
      <w:pPr>
        <w:spacing w:line="360" w:lineRule="auto"/>
        <w:ind w:left="1764" w:firstLine="360"/>
        <w:jc w:val="both"/>
        <w:rPr>
          <w:rFonts w:asciiTheme="minorHAnsi" w:hAnsiTheme="minorHAnsi" w:cs="Arial"/>
          <w:sz w:val="22"/>
          <w:szCs w:val="22"/>
        </w:rPr>
      </w:pPr>
      <w:r w:rsidRPr="001B2353">
        <w:rPr>
          <w:rFonts w:asciiTheme="minorHAnsi" w:hAnsiTheme="minorHAnsi" w:cs="Arial"/>
          <w:sz w:val="22"/>
          <w:szCs w:val="22"/>
        </w:rPr>
        <w:t>świętokrzyskim</w:t>
      </w:r>
      <w:r w:rsidRPr="001B2353">
        <w:rPr>
          <w:rFonts w:asciiTheme="minorHAnsi" w:hAnsiTheme="minorHAnsi" w:cs="Arial"/>
          <w:sz w:val="22"/>
          <w:szCs w:val="22"/>
        </w:rPr>
        <w:tab/>
      </w:r>
      <w:r w:rsidRPr="001B2353">
        <w:rPr>
          <w:rFonts w:asciiTheme="minorHAnsi" w:hAnsiTheme="minorHAnsi" w:cs="Arial"/>
          <w:sz w:val="22"/>
          <w:szCs w:val="22"/>
        </w:rPr>
        <w:tab/>
      </w:r>
      <w:r w:rsidRPr="001B2353">
        <w:rPr>
          <w:rFonts w:asciiTheme="minorHAnsi" w:hAnsiTheme="minorHAnsi" w:cs="Arial"/>
          <w:sz w:val="22"/>
          <w:szCs w:val="22"/>
        </w:rPr>
        <w:tab/>
      </w:r>
      <w:r w:rsidRPr="001B2353">
        <w:rPr>
          <w:rFonts w:asciiTheme="minorHAnsi" w:hAnsiTheme="minorHAnsi" w:cs="Arial"/>
          <w:sz w:val="22"/>
          <w:szCs w:val="22"/>
        </w:rPr>
        <w:tab/>
        <w:t xml:space="preserve"> (16,5%)</w:t>
      </w:r>
    </w:p>
    <w:p w:rsidR="006756EC" w:rsidRPr="001B2353" w:rsidRDefault="006756EC" w:rsidP="006756EC">
      <w:pPr>
        <w:spacing w:line="360" w:lineRule="auto"/>
        <w:ind w:left="1764" w:firstLine="360"/>
        <w:jc w:val="both"/>
        <w:rPr>
          <w:rFonts w:asciiTheme="minorHAnsi" w:hAnsiTheme="minorHAnsi" w:cs="Arial"/>
          <w:sz w:val="22"/>
          <w:szCs w:val="22"/>
        </w:rPr>
      </w:pPr>
      <w:r w:rsidRPr="001B2353">
        <w:rPr>
          <w:rFonts w:asciiTheme="minorHAnsi" w:hAnsiTheme="minorHAnsi" w:cs="Arial"/>
          <w:sz w:val="22"/>
          <w:szCs w:val="22"/>
        </w:rPr>
        <w:t>podkarpackim</w:t>
      </w:r>
      <w:r w:rsidRPr="001B2353">
        <w:rPr>
          <w:rFonts w:asciiTheme="minorHAnsi" w:hAnsiTheme="minorHAnsi" w:cs="Arial"/>
          <w:sz w:val="22"/>
          <w:szCs w:val="22"/>
        </w:rPr>
        <w:tab/>
      </w:r>
      <w:r w:rsidRPr="001B2353">
        <w:rPr>
          <w:rFonts w:asciiTheme="minorHAnsi" w:hAnsiTheme="minorHAnsi" w:cs="Arial"/>
          <w:sz w:val="22"/>
          <w:szCs w:val="22"/>
        </w:rPr>
        <w:tab/>
      </w:r>
      <w:r w:rsidRPr="001B2353">
        <w:rPr>
          <w:rFonts w:asciiTheme="minorHAnsi" w:hAnsiTheme="minorHAnsi" w:cs="Arial"/>
          <w:sz w:val="22"/>
          <w:szCs w:val="22"/>
        </w:rPr>
        <w:tab/>
      </w:r>
      <w:r w:rsidRPr="001B2353">
        <w:rPr>
          <w:rFonts w:asciiTheme="minorHAnsi" w:hAnsiTheme="minorHAnsi" w:cs="Arial"/>
          <w:sz w:val="22"/>
          <w:szCs w:val="22"/>
        </w:rPr>
        <w:tab/>
        <w:t xml:space="preserve"> (16,4%)</w:t>
      </w:r>
    </w:p>
    <w:p w:rsidR="006756EC" w:rsidRPr="001B2353" w:rsidRDefault="006756EC" w:rsidP="006756EC">
      <w:pPr>
        <w:spacing w:line="360" w:lineRule="auto"/>
        <w:ind w:left="1764" w:firstLine="360"/>
        <w:jc w:val="both"/>
        <w:rPr>
          <w:rFonts w:asciiTheme="minorHAnsi" w:hAnsiTheme="minorHAnsi" w:cs="Arial"/>
          <w:sz w:val="22"/>
          <w:szCs w:val="22"/>
        </w:rPr>
      </w:pPr>
      <w:r w:rsidRPr="001B2353">
        <w:rPr>
          <w:rFonts w:asciiTheme="minorHAnsi" w:hAnsiTheme="minorHAnsi" w:cs="Arial"/>
          <w:sz w:val="22"/>
          <w:szCs w:val="22"/>
        </w:rPr>
        <w:t>lubuskim</w:t>
      </w:r>
      <w:r w:rsidRPr="001B2353">
        <w:rPr>
          <w:rFonts w:asciiTheme="minorHAnsi" w:hAnsiTheme="minorHAnsi" w:cs="Arial"/>
          <w:sz w:val="22"/>
          <w:szCs w:val="22"/>
        </w:rPr>
        <w:tab/>
      </w:r>
      <w:r w:rsidRPr="001B2353">
        <w:rPr>
          <w:rFonts w:asciiTheme="minorHAnsi" w:hAnsiTheme="minorHAnsi" w:cs="Arial"/>
          <w:sz w:val="22"/>
          <w:szCs w:val="22"/>
        </w:rPr>
        <w:tab/>
      </w:r>
      <w:r w:rsidRPr="001B2353">
        <w:rPr>
          <w:rFonts w:asciiTheme="minorHAnsi" w:hAnsiTheme="minorHAnsi" w:cs="Arial"/>
          <w:sz w:val="22"/>
          <w:szCs w:val="22"/>
        </w:rPr>
        <w:tab/>
      </w:r>
      <w:r w:rsidRPr="001B2353">
        <w:rPr>
          <w:rFonts w:asciiTheme="minorHAnsi" w:hAnsiTheme="minorHAnsi" w:cs="Arial"/>
          <w:sz w:val="22"/>
          <w:szCs w:val="22"/>
        </w:rPr>
        <w:tab/>
        <w:t xml:space="preserve"> (15,7%)</w:t>
      </w:r>
    </w:p>
    <w:p w:rsidR="006756EC" w:rsidRPr="001B2353" w:rsidRDefault="006756EC" w:rsidP="006756EC">
      <w:pPr>
        <w:spacing w:line="360" w:lineRule="auto"/>
        <w:ind w:left="1764" w:firstLine="360"/>
        <w:jc w:val="both"/>
        <w:rPr>
          <w:rFonts w:asciiTheme="minorHAnsi" w:hAnsiTheme="minorHAnsi" w:cs="Arial"/>
          <w:sz w:val="22"/>
          <w:szCs w:val="22"/>
        </w:rPr>
      </w:pPr>
      <w:r w:rsidRPr="001B2353">
        <w:rPr>
          <w:rFonts w:asciiTheme="minorHAnsi" w:hAnsiTheme="minorHAnsi" w:cs="Arial"/>
          <w:sz w:val="22"/>
          <w:szCs w:val="22"/>
        </w:rPr>
        <w:t>podlaskim</w:t>
      </w:r>
      <w:r w:rsidRPr="001B2353">
        <w:rPr>
          <w:rFonts w:asciiTheme="minorHAnsi" w:hAnsiTheme="minorHAnsi" w:cs="Arial"/>
          <w:sz w:val="22"/>
          <w:szCs w:val="22"/>
        </w:rPr>
        <w:tab/>
      </w:r>
      <w:r w:rsidRPr="001B2353">
        <w:rPr>
          <w:rFonts w:asciiTheme="minorHAnsi" w:hAnsiTheme="minorHAnsi" w:cs="Arial"/>
          <w:sz w:val="22"/>
          <w:szCs w:val="22"/>
        </w:rPr>
        <w:tab/>
      </w:r>
      <w:r w:rsidRPr="001B2353">
        <w:rPr>
          <w:rFonts w:asciiTheme="minorHAnsi" w:hAnsiTheme="minorHAnsi" w:cs="Arial"/>
          <w:sz w:val="22"/>
          <w:szCs w:val="22"/>
        </w:rPr>
        <w:tab/>
      </w:r>
      <w:r w:rsidRPr="001B2353">
        <w:rPr>
          <w:rFonts w:asciiTheme="minorHAnsi" w:hAnsiTheme="minorHAnsi" w:cs="Arial"/>
          <w:sz w:val="22"/>
          <w:szCs w:val="22"/>
        </w:rPr>
        <w:tab/>
        <w:t xml:space="preserve"> (15,1%)</w:t>
      </w:r>
    </w:p>
    <w:p w:rsidR="006756EC" w:rsidRPr="001B2353" w:rsidRDefault="006756EC" w:rsidP="006756EC">
      <w:pPr>
        <w:spacing w:line="360" w:lineRule="auto"/>
        <w:ind w:left="1764" w:firstLine="360"/>
        <w:jc w:val="both"/>
        <w:rPr>
          <w:rFonts w:asciiTheme="minorHAnsi" w:hAnsiTheme="minorHAnsi" w:cs="Arial"/>
          <w:sz w:val="22"/>
          <w:szCs w:val="22"/>
        </w:rPr>
      </w:pPr>
      <w:r w:rsidRPr="001B2353">
        <w:rPr>
          <w:rFonts w:asciiTheme="minorHAnsi" w:hAnsiTheme="minorHAnsi" w:cs="Arial"/>
          <w:sz w:val="22"/>
          <w:szCs w:val="22"/>
        </w:rPr>
        <w:t>lubelskim</w:t>
      </w:r>
      <w:r w:rsidRPr="001B2353">
        <w:rPr>
          <w:rFonts w:asciiTheme="minorHAnsi" w:hAnsiTheme="minorHAnsi" w:cs="Arial"/>
          <w:sz w:val="22"/>
          <w:szCs w:val="22"/>
        </w:rPr>
        <w:tab/>
      </w:r>
      <w:r w:rsidRPr="001B2353">
        <w:rPr>
          <w:rFonts w:asciiTheme="minorHAnsi" w:hAnsiTheme="minorHAnsi" w:cs="Arial"/>
          <w:sz w:val="22"/>
          <w:szCs w:val="22"/>
        </w:rPr>
        <w:tab/>
      </w:r>
      <w:r w:rsidRPr="001B2353">
        <w:rPr>
          <w:rFonts w:asciiTheme="minorHAnsi" w:hAnsiTheme="minorHAnsi" w:cs="Arial"/>
          <w:sz w:val="22"/>
          <w:szCs w:val="22"/>
        </w:rPr>
        <w:tab/>
      </w:r>
      <w:r w:rsidRPr="001B2353">
        <w:rPr>
          <w:rFonts w:asciiTheme="minorHAnsi" w:hAnsiTheme="minorHAnsi" w:cs="Arial"/>
          <w:sz w:val="22"/>
          <w:szCs w:val="22"/>
        </w:rPr>
        <w:tab/>
        <w:t xml:space="preserve"> (14,4%)</w:t>
      </w:r>
    </w:p>
    <w:p w:rsidR="006756EC" w:rsidRPr="001B2353" w:rsidRDefault="006756EC" w:rsidP="006756EC">
      <w:pPr>
        <w:spacing w:line="360" w:lineRule="auto"/>
        <w:ind w:left="1764" w:firstLine="360"/>
        <w:jc w:val="both"/>
        <w:rPr>
          <w:rFonts w:asciiTheme="minorHAnsi" w:hAnsiTheme="minorHAnsi" w:cs="Arial"/>
          <w:sz w:val="22"/>
          <w:szCs w:val="22"/>
        </w:rPr>
      </w:pPr>
      <w:r w:rsidRPr="001B2353">
        <w:rPr>
          <w:rFonts w:asciiTheme="minorHAnsi" w:hAnsiTheme="minorHAnsi" w:cs="Arial"/>
          <w:sz w:val="22"/>
          <w:szCs w:val="22"/>
        </w:rPr>
        <w:t>opolskim</w:t>
      </w:r>
      <w:r w:rsidRPr="001B2353">
        <w:rPr>
          <w:rFonts w:asciiTheme="minorHAnsi" w:hAnsiTheme="minorHAnsi" w:cs="Arial"/>
          <w:sz w:val="22"/>
          <w:szCs w:val="22"/>
        </w:rPr>
        <w:tab/>
      </w:r>
      <w:r w:rsidRPr="001B2353">
        <w:rPr>
          <w:rFonts w:asciiTheme="minorHAnsi" w:hAnsiTheme="minorHAnsi" w:cs="Arial"/>
          <w:sz w:val="22"/>
          <w:szCs w:val="22"/>
        </w:rPr>
        <w:tab/>
      </w:r>
      <w:r w:rsidRPr="001B2353">
        <w:rPr>
          <w:rFonts w:asciiTheme="minorHAnsi" w:hAnsiTheme="minorHAnsi" w:cs="Arial"/>
          <w:sz w:val="22"/>
          <w:szCs w:val="22"/>
        </w:rPr>
        <w:tab/>
      </w:r>
      <w:r w:rsidRPr="001B2353">
        <w:rPr>
          <w:rFonts w:asciiTheme="minorHAnsi" w:hAnsiTheme="minorHAnsi" w:cs="Arial"/>
          <w:sz w:val="22"/>
          <w:szCs w:val="22"/>
        </w:rPr>
        <w:tab/>
        <w:t xml:space="preserve"> (14,3%)</w:t>
      </w:r>
    </w:p>
    <w:p w:rsidR="006756EC" w:rsidRPr="001B2353" w:rsidRDefault="006756EC" w:rsidP="006756EC">
      <w:pPr>
        <w:spacing w:line="360" w:lineRule="auto"/>
        <w:ind w:left="1764" w:firstLine="360"/>
        <w:jc w:val="both"/>
        <w:rPr>
          <w:rFonts w:asciiTheme="minorHAnsi" w:hAnsiTheme="minorHAnsi" w:cs="Arial"/>
          <w:sz w:val="22"/>
          <w:szCs w:val="22"/>
        </w:rPr>
      </w:pPr>
      <w:r w:rsidRPr="001B2353">
        <w:rPr>
          <w:rFonts w:asciiTheme="minorHAnsi" w:hAnsiTheme="minorHAnsi" w:cs="Arial"/>
          <w:sz w:val="22"/>
          <w:szCs w:val="22"/>
        </w:rPr>
        <w:t xml:space="preserve">łódzkim </w:t>
      </w:r>
      <w:r w:rsidRPr="001B2353">
        <w:rPr>
          <w:rFonts w:asciiTheme="minorHAnsi" w:hAnsiTheme="minorHAnsi" w:cs="Arial"/>
          <w:sz w:val="22"/>
          <w:szCs w:val="22"/>
        </w:rPr>
        <w:tab/>
        <w:t xml:space="preserve"> </w:t>
      </w:r>
      <w:r w:rsidRPr="001B2353">
        <w:rPr>
          <w:rFonts w:asciiTheme="minorHAnsi" w:hAnsiTheme="minorHAnsi" w:cs="Arial"/>
          <w:sz w:val="22"/>
          <w:szCs w:val="22"/>
        </w:rPr>
        <w:tab/>
      </w:r>
      <w:r w:rsidRPr="001B2353">
        <w:rPr>
          <w:rFonts w:asciiTheme="minorHAnsi" w:hAnsiTheme="minorHAnsi" w:cs="Arial"/>
          <w:sz w:val="22"/>
          <w:szCs w:val="22"/>
        </w:rPr>
        <w:tab/>
        <w:t xml:space="preserve"> </w:t>
      </w:r>
      <w:r w:rsidRPr="001B2353">
        <w:rPr>
          <w:rFonts w:asciiTheme="minorHAnsi" w:hAnsiTheme="minorHAnsi" w:cs="Arial"/>
          <w:sz w:val="22"/>
          <w:szCs w:val="22"/>
        </w:rPr>
        <w:tab/>
        <w:t xml:space="preserve"> (14,1%)</w:t>
      </w:r>
    </w:p>
    <w:p w:rsidR="006756EC" w:rsidRPr="001B2353" w:rsidRDefault="006756EC" w:rsidP="006756EC">
      <w:pPr>
        <w:spacing w:line="360" w:lineRule="auto"/>
        <w:ind w:left="1764" w:firstLine="360"/>
        <w:jc w:val="both"/>
        <w:rPr>
          <w:rFonts w:asciiTheme="minorHAnsi" w:hAnsiTheme="minorHAnsi" w:cs="Arial"/>
          <w:sz w:val="22"/>
          <w:szCs w:val="22"/>
          <w:highlight w:val="yellow"/>
        </w:rPr>
      </w:pPr>
      <w:r w:rsidRPr="001B2353">
        <w:rPr>
          <w:rFonts w:asciiTheme="minorHAnsi" w:hAnsiTheme="minorHAnsi" w:cs="Arial"/>
          <w:sz w:val="22"/>
          <w:szCs w:val="22"/>
        </w:rPr>
        <w:t xml:space="preserve">pomorskim </w:t>
      </w:r>
      <w:r w:rsidRPr="001B2353">
        <w:rPr>
          <w:rFonts w:asciiTheme="minorHAnsi" w:hAnsiTheme="minorHAnsi" w:cs="Arial"/>
          <w:sz w:val="22"/>
          <w:szCs w:val="22"/>
        </w:rPr>
        <w:tab/>
        <w:t xml:space="preserve"> </w:t>
      </w:r>
      <w:r w:rsidRPr="001B2353">
        <w:rPr>
          <w:rFonts w:asciiTheme="minorHAnsi" w:hAnsiTheme="minorHAnsi" w:cs="Arial"/>
          <w:sz w:val="22"/>
          <w:szCs w:val="22"/>
        </w:rPr>
        <w:tab/>
      </w:r>
      <w:r w:rsidRPr="001B2353">
        <w:rPr>
          <w:rFonts w:asciiTheme="minorHAnsi" w:hAnsiTheme="minorHAnsi" w:cs="Arial"/>
          <w:sz w:val="22"/>
          <w:szCs w:val="22"/>
        </w:rPr>
        <w:tab/>
        <w:t xml:space="preserve"> </w:t>
      </w:r>
      <w:r w:rsidRPr="001B2353">
        <w:rPr>
          <w:rFonts w:asciiTheme="minorHAnsi" w:hAnsiTheme="minorHAnsi" w:cs="Arial"/>
          <w:sz w:val="22"/>
          <w:szCs w:val="22"/>
        </w:rPr>
        <w:tab/>
        <w:t xml:space="preserve"> (13,3%)</w:t>
      </w:r>
    </w:p>
    <w:p w:rsidR="006756EC" w:rsidRPr="001B2353" w:rsidRDefault="006756EC" w:rsidP="006756EC">
      <w:pPr>
        <w:spacing w:line="360" w:lineRule="auto"/>
        <w:ind w:firstLine="357"/>
        <w:jc w:val="center"/>
        <w:rPr>
          <w:rFonts w:asciiTheme="minorHAnsi" w:hAnsiTheme="minorHAnsi" w:cs="Arial"/>
          <w:sz w:val="22"/>
          <w:szCs w:val="22"/>
          <w:highlight w:val="yellow"/>
        </w:rPr>
      </w:pPr>
      <w:r w:rsidRPr="001B2353">
        <w:rPr>
          <w:rFonts w:asciiTheme="minorHAnsi" w:hAnsiTheme="minorHAnsi" w:cs="Arial"/>
          <w:noProof/>
          <w:sz w:val="22"/>
          <w:szCs w:val="22"/>
          <w:highlight w:val="yellow"/>
        </w:rPr>
        <w:lastRenderedPageBreak/>
        <w:drawing>
          <wp:inline distT="0" distB="0" distL="0" distR="0" wp14:anchorId="753BD64E" wp14:editId="1399701D">
            <wp:extent cx="5697376" cy="5640779"/>
            <wp:effectExtent l="0" t="0" r="0" b="0"/>
            <wp:docPr id="1" name="Obraz 1" descr="Stopa_bezrobocia_12-2013v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topa_bezrobocia_12-2013v7"/>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722530" cy="5665683"/>
                    </a:xfrm>
                    <a:prstGeom prst="rect">
                      <a:avLst/>
                    </a:prstGeom>
                    <a:noFill/>
                    <a:ln>
                      <a:noFill/>
                    </a:ln>
                  </pic:spPr>
                </pic:pic>
              </a:graphicData>
            </a:graphic>
          </wp:inline>
        </w:drawing>
      </w:r>
    </w:p>
    <w:p w:rsidR="006756EC" w:rsidRPr="001B2353" w:rsidRDefault="006756EC" w:rsidP="006756EC">
      <w:pPr>
        <w:spacing w:line="360" w:lineRule="auto"/>
        <w:ind w:firstLine="357"/>
        <w:jc w:val="both"/>
        <w:rPr>
          <w:rFonts w:asciiTheme="minorHAnsi" w:hAnsiTheme="minorHAnsi" w:cs="Arial"/>
          <w:sz w:val="22"/>
          <w:szCs w:val="22"/>
        </w:rPr>
      </w:pPr>
      <w:r w:rsidRPr="001B2353">
        <w:rPr>
          <w:rFonts w:asciiTheme="minorHAnsi" w:hAnsiTheme="minorHAnsi" w:cs="Arial"/>
          <w:sz w:val="22"/>
          <w:szCs w:val="22"/>
        </w:rPr>
        <w:t>Najwyższą stopę bezrobocia w województwie dolnośląskim na koniec grudnia 2013 roku, wynoszącą co najmniej 24,0%, zanotowano w powiatach:</w:t>
      </w:r>
    </w:p>
    <w:p w:rsidR="006756EC" w:rsidRPr="001B2353" w:rsidRDefault="006756EC" w:rsidP="006756EC">
      <w:pPr>
        <w:spacing w:line="360" w:lineRule="auto"/>
        <w:ind w:left="357" w:firstLine="346"/>
        <w:jc w:val="both"/>
        <w:rPr>
          <w:rFonts w:asciiTheme="minorHAnsi" w:hAnsiTheme="minorHAnsi" w:cs="Arial"/>
          <w:sz w:val="22"/>
          <w:szCs w:val="22"/>
        </w:rPr>
      </w:pPr>
      <w:r w:rsidRPr="001B2353">
        <w:rPr>
          <w:rFonts w:asciiTheme="minorHAnsi" w:hAnsiTheme="minorHAnsi" w:cs="Arial"/>
          <w:sz w:val="22"/>
          <w:szCs w:val="22"/>
        </w:rPr>
        <w:t>wałbrzyskim ziemskim</w:t>
      </w:r>
      <w:r w:rsidRPr="001B2353">
        <w:rPr>
          <w:rFonts w:asciiTheme="minorHAnsi" w:hAnsiTheme="minorHAnsi" w:cs="Arial"/>
          <w:sz w:val="22"/>
          <w:szCs w:val="22"/>
        </w:rPr>
        <w:tab/>
        <w:t>32,0%</w:t>
      </w:r>
      <w:r w:rsidRPr="001B2353">
        <w:rPr>
          <w:rFonts w:asciiTheme="minorHAnsi" w:hAnsiTheme="minorHAnsi" w:cs="Arial"/>
          <w:sz w:val="22"/>
          <w:szCs w:val="22"/>
        </w:rPr>
        <w:tab/>
      </w:r>
      <w:r w:rsidRPr="001B2353">
        <w:rPr>
          <w:rFonts w:asciiTheme="minorHAnsi" w:hAnsiTheme="minorHAnsi" w:cs="Arial"/>
          <w:sz w:val="22"/>
          <w:szCs w:val="22"/>
        </w:rPr>
        <w:tab/>
      </w:r>
      <w:r w:rsidRPr="001B2353">
        <w:rPr>
          <w:rFonts w:asciiTheme="minorHAnsi" w:hAnsiTheme="minorHAnsi" w:cs="Arial"/>
          <w:sz w:val="22"/>
          <w:szCs w:val="22"/>
        </w:rPr>
        <w:tab/>
        <w:t>(brak danych dla grudnia 2012 roku)</w:t>
      </w:r>
    </w:p>
    <w:p w:rsidR="006756EC" w:rsidRPr="001B2353" w:rsidRDefault="006756EC" w:rsidP="006756EC">
      <w:pPr>
        <w:spacing w:line="360" w:lineRule="auto"/>
        <w:ind w:left="357" w:firstLine="346"/>
        <w:jc w:val="both"/>
        <w:rPr>
          <w:rFonts w:asciiTheme="minorHAnsi" w:hAnsiTheme="minorHAnsi" w:cs="Arial"/>
          <w:sz w:val="22"/>
          <w:szCs w:val="22"/>
        </w:rPr>
      </w:pPr>
      <w:r w:rsidRPr="001B2353">
        <w:rPr>
          <w:rFonts w:asciiTheme="minorHAnsi" w:hAnsiTheme="minorHAnsi" w:cs="Arial"/>
          <w:sz w:val="22"/>
          <w:szCs w:val="22"/>
        </w:rPr>
        <w:t>złotoryjskim</w:t>
      </w:r>
      <w:r w:rsidRPr="001B2353">
        <w:rPr>
          <w:rFonts w:asciiTheme="minorHAnsi" w:hAnsiTheme="minorHAnsi" w:cs="Arial"/>
          <w:sz w:val="22"/>
          <w:szCs w:val="22"/>
        </w:rPr>
        <w:tab/>
      </w:r>
      <w:r w:rsidRPr="001B2353">
        <w:rPr>
          <w:rFonts w:asciiTheme="minorHAnsi" w:hAnsiTheme="minorHAnsi" w:cs="Arial"/>
          <w:sz w:val="22"/>
          <w:szCs w:val="22"/>
        </w:rPr>
        <w:tab/>
        <w:t>28,3%</w:t>
      </w:r>
      <w:r w:rsidRPr="001B2353">
        <w:rPr>
          <w:rFonts w:asciiTheme="minorHAnsi" w:hAnsiTheme="minorHAnsi" w:cs="Arial"/>
          <w:sz w:val="22"/>
          <w:szCs w:val="22"/>
        </w:rPr>
        <w:tab/>
      </w:r>
      <w:r w:rsidRPr="001B2353">
        <w:rPr>
          <w:rFonts w:asciiTheme="minorHAnsi" w:hAnsiTheme="minorHAnsi" w:cs="Arial"/>
          <w:sz w:val="22"/>
          <w:szCs w:val="22"/>
        </w:rPr>
        <w:tab/>
      </w:r>
      <w:r w:rsidRPr="001B2353">
        <w:rPr>
          <w:rFonts w:asciiTheme="minorHAnsi" w:hAnsiTheme="minorHAnsi" w:cs="Arial"/>
          <w:sz w:val="22"/>
          <w:szCs w:val="22"/>
        </w:rPr>
        <w:tab/>
        <w:t xml:space="preserve">(27,5%            </w:t>
      </w:r>
      <w:r w:rsidR="00E86550" w:rsidRPr="001B2353">
        <w:rPr>
          <w:rFonts w:asciiTheme="minorHAnsi" w:hAnsiTheme="minorHAnsi" w:cs="Arial"/>
          <w:sz w:val="22"/>
          <w:szCs w:val="22"/>
        </w:rPr>
        <w:t xml:space="preserve">  </w:t>
      </w:r>
      <w:r w:rsidRPr="001B2353">
        <w:rPr>
          <w:rFonts w:asciiTheme="minorHAnsi" w:hAnsiTheme="minorHAnsi" w:cs="Arial"/>
          <w:sz w:val="22"/>
          <w:szCs w:val="22"/>
        </w:rPr>
        <w:t>w grudniu 2012 roku)</w:t>
      </w:r>
    </w:p>
    <w:p w:rsidR="006756EC" w:rsidRPr="001B2353" w:rsidRDefault="006756EC" w:rsidP="006756EC">
      <w:pPr>
        <w:spacing w:line="360" w:lineRule="auto"/>
        <w:ind w:left="357" w:firstLine="346"/>
        <w:jc w:val="both"/>
        <w:rPr>
          <w:rFonts w:asciiTheme="minorHAnsi" w:hAnsiTheme="minorHAnsi" w:cs="Arial"/>
          <w:sz w:val="22"/>
          <w:szCs w:val="22"/>
        </w:rPr>
      </w:pPr>
      <w:r w:rsidRPr="001B2353">
        <w:rPr>
          <w:rFonts w:asciiTheme="minorHAnsi" w:hAnsiTheme="minorHAnsi" w:cs="Arial"/>
          <w:sz w:val="22"/>
          <w:szCs w:val="22"/>
        </w:rPr>
        <w:t>górowskim</w:t>
      </w:r>
      <w:r w:rsidRPr="001B2353">
        <w:rPr>
          <w:rFonts w:asciiTheme="minorHAnsi" w:hAnsiTheme="minorHAnsi" w:cs="Arial"/>
          <w:sz w:val="22"/>
          <w:szCs w:val="22"/>
        </w:rPr>
        <w:tab/>
      </w:r>
      <w:r w:rsidRPr="001B2353">
        <w:rPr>
          <w:rFonts w:asciiTheme="minorHAnsi" w:hAnsiTheme="minorHAnsi" w:cs="Arial"/>
          <w:sz w:val="22"/>
          <w:szCs w:val="22"/>
        </w:rPr>
        <w:tab/>
        <w:t>28,1%</w:t>
      </w:r>
      <w:r w:rsidRPr="001B2353">
        <w:rPr>
          <w:rFonts w:asciiTheme="minorHAnsi" w:hAnsiTheme="minorHAnsi" w:cs="Arial"/>
          <w:sz w:val="22"/>
          <w:szCs w:val="22"/>
        </w:rPr>
        <w:tab/>
      </w:r>
      <w:r w:rsidRPr="001B2353">
        <w:rPr>
          <w:rFonts w:asciiTheme="minorHAnsi" w:hAnsiTheme="minorHAnsi" w:cs="Arial"/>
          <w:sz w:val="22"/>
          <w:szCs w:val="22"/>
        </w:rPr>
        <w:tab/>
      </w:r>
      <w:r w:rsidRPr="001B2353">
        <w:rPr>
          <w:rFonts w:asciiTheme="minorHAnsi" w:hAnsiTheme="minorHAnsi" w:cs="Arial"/>
          <w:sz w:val="22"/>
          <w:szCs w:val="22"/>
        </w:rPr>
        <w:tab/>
        <w:t xml:space="preserve">(27,9%          </w:t>
      </w:r>
      <w:r w:rsidR="00E86550" w:rsidRPr="001B2353">
        <w:rPr>
          <w:rFonts w:asciiTheme="minorHAnsi" w:hAnsiTheme="minorHAnsi" w:cs="Arial"/>
          <w:sz w:val="22"/>
          <w:szCs w:val="22"/>
        </w:rPr>
        <w:tab/>
      </w:r>
      <w:r w:rsidR="00E86550" w:rsidRPr="001B2353">
        <w:rPr>
          <w:rFonts w:asciiTheme="minorHAnsi" w:hAnsiTheme="minorHAnsi" w:cs="Arial"/>
          <w:sz w:val="22"/>
          <w:szCs w:val="22"/>
        </w:rPr>
        <w:tab/>
      </w:r>
      <w:r w:rsidRPr="001B2353">
        <w:rPr>
          <w:rFonts w:asciiTheme="minorHAnsi" w:hAnsiTheme="minorHAnsi" w:cs="Arial"/>
          <w:sz w:val="22"/>
          <w:szCs w:val="22"/>
        </w:rPr>
        <w:t>„</w:t>
      </w:r>
      <w:r w:rsidR="00E86550" w:rsidRPr="001B2353">
        <w:rPr>
          <w:rFonts w:asciiTheme="minorHAnsi" w:hAnsiTheme="minorHAnsi" w:cs="Arial"/>
          <w:sz w:val="22"/>
          <w:szCs w:val="22"/>
        </w:rPr>
        <w:t xml:space="preserve">   </w:t>
      </w:r>
      <w:r w:rsidR="00E86550" w:rsidRPr="001B2353">
        <w:rPr>
          <w:rFonts w:asciiTheme="minorHAnsi" w:hAnsiTheme="minorHAnsi" w:cs="Arial"/>
          <w:sz w:val="22"/>
          <w:szCs w:val="22"/>
        </w:rPr>
        <w:tab/>
        <w:t xml:space="preserve">   )</w:t>
      </w:r>
      <w:r w:rsidR="00E86550" w:rsidRPr="001B2353">
        <w:rPr>
          <w:rFonts w:asciiTheme="minorHAnsi" w:hAnsiTheme="minorHAnsi" w:cs="Arial"/>
          <w:sz w:val="22"/>
          <w:szCs w:val="22"/>
        </w:rPr>
        <w:tab/>
      </w:r>
    </w:p>
    <w:p w:rsidR="006756EC" w:rsidRPr="001B2353" w:rsidRDefault="006756EC" w:rsidP="006756EC">
      <w:pPr>
        <w:spacing w:line="360" w:lineRule="auto"/>
        <w:ind w:left="357" w:firstLine="346"/>
        <w:jc w:val="both"/>
        <w:rPr>
          <w:rFonts w:asciiTheme="minorHAnsi" w:hAnsiTheme="minorHAnsi" w:cs="Arial"/>
          <w:sz w:val="22"/>
          <w:szCs w:val="22"/>
        </w:rPr>
      </w:pPr>
      <w:r w:rsidRPr="001B2353">
        <w:rPr>
          <w:rFonts w:asciiTheme="minorHAnsi" w:hAnsiTheme="minorHAnsi" w:cs="Arial"/>
          <w:sz w:val="22"/>
          <w:szCs w:val="22"/>
        </w:rPr>
        <w:t>kłodzkim</w:t>
      </w:r>
      <w:r w:rsidRPr="001B2353">
        <w:rPr>
          <w:rFonts w:asciiTheme="minorHAnsi" w:hAnsiTheme="minorHAnsi" w:cs="Arial"/>
          <w:sz w:val="22"/>
          <w:szCs w:val="22"/>
        </w:rPr>
        <w:tab/>
      </w:r>
      <w:r w:rsidRPr="001B2353">
        <w:rPr>
          <w:rFonts w:asciiTheme="minorHAnsi" w:hAnsiTheme="minorHAnsi" w:cs="Arial"/>
          <w:sz w:val="22"/>
          <w:szCs w:val="22"/>
        </w:rPr>
        <w:tab/>
        <w:t>27,2%</w:t>
      </w:r>
      <w:r w:rsidRPr="001B2353">
        <w:rPr>
          <w:rFonts w:asciiTheme="minorHAnsi" w:hAnsiTheme="minorHAnsi" w:cs="Arial"/>
          <w:sz w:val="22"/>
          <w:szCs w:val="22"/>
        </w:rPr>
        <w:tab/>
      </w:r>
      <w:r w:rsidRPr="001B2353">
        <w:rPr>
          <w:rFonts w:asciiTheme="minorHAnsi" w:hAnsiTheme="minorHAnsi" w:cs="Arial"/>
          <w:sz w:val="22"/>
          <w:szCs w:val="22"/>
        </w:rPr>
        <w:tab/>
      </w:r>
      <w:r w:rsidRPr="001B2353">
        <w:rPr>
          <w:rFonts w:asciiTheme="minorHAnsi" w:hAnsiTheme="minorHAnsi" w:cs="Arial"/>
          <w:sz w:val="22"/>
          <w:szCs w:val="22"/>
        </w:rPr>
        <w:tab/>
        <w:t xml:space="preserve">(27,1%   </w:t>
      </w:r>
      <w:r w:rsidR="00E86550" w:rsidRPr="001B2353">
        <w:rPr>
          <w:rFonts w:asciiTheme="minorHAnsi" w:hAnsiTheme="minorHAnsi" w:cs="Arial"/>
          <w:sz w:val="22"/>
          <w:szCs w:val="22"/>
        </w:rPr>
        <w:tab/>
      </w:r>
      <w:r w:rsidR="00E86550" w:rsidRPr="001B2353">
        <w:rPr>
          <w:rFonts w:asciiTheme="minorHAnsi" w:hAnsiTheme="minorHAnsi" w:cs="Arial"/>
          <w:sz w:val="22"/>
          <w:szCs w:val="22"/>
        </w:rPr>
        <w:tab/>
      </w:r>
      <w:r w:rsidRPr="001B2353">
        <w:rPr>
          <w:rFonts w:asciiTheme="minorHAnsi" w:hAnsiTheme="minorHAnsi" w:cs="Arial"/>
          <w:sz w:val="22"/>
          <w:szCs w:val="22"/>
        </w:rPr>
        <w:t xml:space="preserve">„         </w:t>
      </w:r>
      <w:r w:rsidRPr="001B2353">
        <w:rPr>
          <w:rFonts w:asciiTheme="minorHAnsi" w:hAnsiTheme="minorHAnsi" w:cs="Arial"/>
          <w:sz w:val="22"/>
          <w:szCs w:val="22"/>
        </w:rPr>
        <w:tab/>
        <w:t xml:space="preserve">   )</w:t>
      </w:r>
    </w:p>
    <w:p w:rsidR="006756EC" w:rsidRPr="001B2353" w:rsidRDefault="006756EC" w:rsidP="006756EC">
      <w:pPr>
        <w:spacing w:line="360" w:lineRule="auto"/>
        <w:ind w:left="357" w:firstLine="346"/>
        <w:jc w:val="both"/>
        <w:rPr>
          <w:rFonts w:asciiTheme="minorHAnsi" w:hAnsiTheme="minorHAnsi" w:cs="Arial"/>
          <w:sz w:val="22"/>
          <w:szCs w:val="22"/>
        </w:rPr>
      </w:pPr>
      <w:r w:rsidRPr="001B2353">
        <w:rPr>
          <w:rFonts w:asciiTheme="minorHAnsi" w:hAnsiTheme="minorHAnsi" w:cs="Arial"/>
          <w:sz w:val="22"/>
          <w:szCs w:val="22"/>
        </w:rPr>
        <w:t>lwóweckim</w:t>
      </w:r>
      <w:r w:rsidRPr="001B2353">
        <w:rPr>
          <w:rFonts w:asciiTheme="minorHAnsi" w:hAnsiTheme="minorHAnsi" w:cs="Arial"/>
          <w:sz w:val="22"/>
          <w:szCs w:val="22"/>
        </w:rPr>
        <w:tab/>
      </w:r>
      <w:r w:rsidRPr="001B2353">
        <w:rPr>
          <w:rFonts w:asciiTheme="minorHAnsi" w:hAnsiTheme="minorHAnsi" w:cs="Arial"/>
          <w:sz w:val="22"/>
          <w:szCs w:val="22"/>
        </w:rPr>
        <w:tab/>
        <w:t>26,1%</w:t>
      </w:r>
      <w:r w:rsidRPr="001B2353">
        <w:rPr>
          <w:rFonts w:asciiTheme="minorHAnsi" w:hAnsiTheme="minorHAnsi" w:cs="Arial"/>
          <w:sz w:val="22"/>
          <w:szCs w:val="22"/>
        </w:rPr>
        <w:tab/>
      </w:r>
      <w:r w:rsidRPr="001B2353">
        <w:rPr>
          <w:rFonts w:asciiTheme="minorHAnsi" w:hAnsiTheme="minorHAnsi" w:cs="Arial"/>
          <w:sz w:val="22"/>
          <w:szCs w:val="22"/>
        </w:rPr>
        <w:tab/>
      </w:r>
      <w:r w:rsidRPr="001B2353">
        <w:rPr>
          <w:rFonts w:asciiTheme="minorHAnsi" w:hAnsiTheme="minorHAnsi" w:cs="Arial"/>
          <w:sz w:val="22"/>
          <w:szCs w:val="22"/>
        </w:rPr>
        <w:tab/>
        <w:t xml:space="preserve">(25,6% </w:t>
      </w:r>
      <w:r w:rsidRPr="001B2353">
        <w:rPr>
          <w:rFonts w:asciiTheme="minorHAnsi" w:hAnsiTheme="minorHAnsi" w:cs="Arial"/>
          <w:sz w:val="22"/>
          <w:szCs w:val="22"/>
        </w:rPr>
        <w:tab/>
        <w:t xml:space="preserve">         </w:t>
      </w:r>
      <w:r w:rsidR="00E86550" w:rsidRPr="001B2353">
        <w:rPr>
          <w:rFonts w:asciiTheme="minorHAnsi" w:hAnsiTheme="minorHAnsi" w:cs="Arial"/>
          <w:sz w:val="22"/>
          <w:szCs w:val="22"/>
        </w:rPr>
        <w:tab/>
      </w:r>
      <w:r w:rsidR="00E86550" w:rsidRPr="001B2353">
        <w:rPr>
          <w:rFonts w:asciiTheme="minorHAnsi" w:hAnsiTheme="minorHAnsi" w:cs="Arial"/>
          <w:sz w:val="22"/>
          <w:szCs w:val="22"/>
        </w:rPr>
        <w:tab/>
      </w:r>
      <w:r w:rsidRPr="001B2353">
        <w:rPr>
          <w:rFonts w:asciiTheme="minorHAnsi" w:hAnsiTheme="minorHAnsi" w:cs="Arial"/>
          <w:sz w:val="22"/>
          <w:szCs w:val="22"/>
        </w:rPr>
        <w:t xml:space="preserve">„    </w:t>
      </w:r>
      <w:r w:rsidRPr="001B2353">
        <w:rPr>
          <w:rFonts w:asciiTheme="minorHAnsi" w:hAnsiTheme="minorHAnsi" w:cs="Arial"/>
          <w:sz w:val="22"/>
          <w:szCs w:val="22"/>
        </w:rPr>
        <w:tab/>
        <w:t xml:space="preserve">   )</w:t>
      </w:r>
    </w:p>
    <w:p w:rsidR="006756EC" w:rsidRPr="001B2353" w:rsidRDefault="006756EC" w:rsidP="006756EC">
      <w:pPr>
        <w:spacing w:line="360" w:lineRule="auto"/>
        <w:ind w:left="357" w:firstLine="346"/>
        <w:jc w:val="both"/>
        <w:rPr>
          <w:rFonts w:asciiTheme="minorHAnsi" w:hAnsiTheme="minorHAnsi" w:cs="Arial"/>
          <w:sz w:val="22"/>
          <w:szCs w:val="22"/>
        </w:rPr>
      </w:pPr>
      <w:r w:rsidRPr="001B2353">
        <w:rPr>
          <w:rFonts w:asciiTheme="minorHAnsi" w:hAnsiTheme="minorHAnsi" w:cs="Arial"/>
          <w:sz w:val="22"/>
          <w:szCs w:val="22"/>
        </w:rPr>
        <w:t>jaworskim</w:t>
      </w:r>
      <w:r w:rsidRPr="001B2353">
        <w:rPr>
          <w:rFonts w:asciiTheme="minorHAnsi" w:hAnsiTheme="minorHAnsi" w:cs="Arial"/>
          <w:sz w:val="22"/>
          <w:szCs w:val="22"/>
        </w:rPr>
        <w:tab/>
      </w:r>
      <w:r w:rsidRPr="001B2353">
        <w:rPr>
          <w:rFonts w:asciiTheme="minorHAnsi" w:hAnsiTheme="minorHAnsi" w:cs="Arial"/>
          <w:sz w:val="22"/>
          <w:szCs w:val="22"/>
        </w:rPr>
        <w:tab/>
        <w:t>24,0%</w:t>
      </w:r>
      <w:r w:rsidRPr="001B2353">
        <w:rPr>
          <w:rFonts w:asciiTheme="minorHAnsi" w:hAnsiTheme="minorHAnsi" w:cs="Arial"/>
          <w:sz w:val="22"/>
          <w:szCs w:val="22"/>
        </w:rPr>
        <w:tab/>
      </w:r>
      <w:r w:rsidRPr="001B2353">
        <w:rPr>
          <w:rFonts w:asciiTheme="minorHAnsi" w:hAnsiTheme="minorHAnsi" w:cs="Arial"/>
          <w:sz w:val="22"/>
          <w:szCs w:val="22"/>
        </w:rPr>
        <w:tab/>
      </w:r>
      <w:r w:rsidRPr="001B2353">
        <w:rPr>
          <w:rFonts w:asciiTheme="minorHAnsi" w:hAnsiTheme="minorHAnsi" w:cs="Arial"/>
          <w:sz w:val="22"/>
          <w:szCs w:val="22"/>
        </w:rPr>
        <w:tab/>
        <w:t xml:space="preserve">(25,0% </w:t>
      </w:r>
      <w:r w:rsidRPr="001B2353">
        <w:rPr>
          <w:rFonts w:asciiTheme="minorHAnsi" w:hAnsiTheme="minorHAnsi" w:cs="Arial"/>
          <w:sz w:val="22"/>
          <w:szCs w:val="22"/>
        </w:rPr>
        <w:tab/>
        <w:t xml:space="preserve"> </w:t>
      </w:r>
      <w:r w:rsidRPr="001B2353">
        <w:rPr>
          <w:rFonts w:asciiTheme="minorHAnsi" w:hAnsiTheme="minorHAnsi" w:cs="Arial"/>
          <w:sz w:val="22"/>
          <w:szCs w:val="22"/>
        </w:rPr>
        <w:tab/>
      </w:r>
      <w:r w:rsidR="00E86550" w:rsidRPr="001B2353">
        <w:rPr>
          <w:rFonts w:asciiTheme="minorHAnsi" w:hAnsiTheme="minorHAnsi" w:cs="Arial"/>
          <w:sz w:val="22"/>
          <w:szCs w:val="22"/>
        </w:rPr>
        <w:tab/>
      </w:r>
      <w:r w:rsidRPr="001B2353">
        <w:rPr>
          <w:rFonts w:asciiTheme="minorHAnsi" w:hAnsiTheme="minorHAnsi" w:cs="Arial"/>
          <w:sz w:val="22"/>
          <w:szCs w:val="22"/>
        </w:rPr>
        <w:t xml:space="preserve"> „    </w:t>
      </w:r>
      <w:r w:rsidRPr="001B2353">
        <w:rPr>
          <w:rFonts w:asciiTheme="minorHAnsi" w:hAnsiTheme="minorHAnsi" w:cs="Arial"/>
          <w:sz w:val="22"/>
          <w:szCs w:val="22"/>
        </w:rPr>
        <w:tab/>
        <w:t xml:space="preserve">   )</w:t>
      </w:r>
    </w:p>
    <w:p w:rsidR="006756EC" w:rsidRPr="001B2353" w:rsidRDefault="006756EC" w:rsidP="006756EC">
      <w:pPr>
        <w:spacing w:line="360" w:lineRule="auto"/>
        <w:ind w:left="357" w:firstLine="346"/>
        <w:jc w:val="both"/>
        <w:rPr>
          <w:rFonts w:asciiTheme="minorHAnsi" w:hAnsiTheme="minorHAnsi" w:cs="Arial"/>
          <w:sz w:val="22"/>
          <w:szCs w:val="22"/>
        </w:rPr>
      </w:pPr>
    </w:p>
    <w:p w:rsidR="006756EC" w:rsidRPr="001B2353" w:rsidRDefault="006756EC" w:rsidP="006756EC">
      <w:pPr>
        <w:spacing w:line="360" w:lineRule="auto"/>
        <w:jc w:val="both"/>
        <w:rPr>
          <w:rFonts w:asciiTheme="minorHAnsi" w:hAnsiTheme="minorHAnsi" w:cs="Arial"/>
          <w:sz w:val="22"/>
          <w:szCs w:val="22"/>
        </w:rPr>
      </w:pPr>
      <w:r w:rsidRPr="001B2353">
        <w:rPr>
          <w:rFonts w:asciiTheme="minorHAnsi" w:hAnsiTheme="minorHAnsi" w:cs="Arial"/>
          <w:sz w:val="22"/>
          <w:szCs w:val="22"/>
        </w:rPr>
        <w:t>Najniższy poziom stopy bezrobocia, nie przekraczający 10%, wystąpił w powiatach:</w:t>
      </w:r>
    </w:p>
    <w:p w:rsidR="006756EC" w:rsidRPr="001B2353" w:rsidRDefault="006756EC" w:rsidP="006756EC">
      <w:pPr>
        <w:spacing w:line="360" w:lineRule="auto"/>
        <w:ind w:left="357" w:firstLine="346"/>
        <w:jc w:val="both"/>
        <w:rPr>
          <w:rFonts w:asciiTheme="minorHAnsi" w:hAnsiTheme="minorHAnsi" w:cs="Arial"/>
          <w:sz w:val="22"/>
          <w:szCs w:val="22"/>
        </w:rPr>
      </w:pPr>
      <w:r w:rsidRPr="001B2353">
        <w:rPr>
          <w:rFonts w:asciiTheme="minorHAnsi" w:hAnsiTheme="minorHAnsi" w:cs="Arial"/>
          <w:sz w:val="22"/>
          <w:szCs w:val="22"/>
        </w:rPr>
        <w:t>wrocławskim  ziemskim</w:t>
      </w:r>
      <w:r w:rsidRPr="001B2353">
        <w:rPr>
          <w:rFonts w:asciiTheme="minorHAnsi" w:hAnsiTheme="minorHAnsi" w:cs="Arial"/>
          <w:sz w:val="22"/>
          <w:szCs w:val="22"/>
        </w:rPr>
        <w:tab/>
        <w:t xml:space="preserve"> </w:t>
      </w:r>
      <w:r w:rsidRPr="001B2353">
        <w:rPr>
          <w:rFonts w:asciiTheme="minorHAnsi" w:hAnsiTheme="minorHAnsi" w:cs="Arial"/>
          <w:sz w:val="22"/>
          <w:szCs w:val="22"/>
        </w:rPr>
        <w:tab/>
        <w:t xml:space="preserve"> 5,3%</w:t>
      </w:r>
      <w:r w:rsidRPr="001B2353">
        <w:rPr>
          <w:rFonts w:asciiTheme="minorHAnsi" w:hAnsiTheme="minorHAnsi" w:cs="Arial"/>
          <w:sz w:val="22"/>
          <w:szCs w:val="22"/>
        </w:rPr>
        <w:tab/>
      </w:r>
      <w:r w:rsidRPr="001B2353">
        <w:rPr>
          <w:rFonts w:asciiTheme="minorHAnsi" w:hAnsiTheme="minorHAnsi" w:cs="Arial"/>
          <w:sz w:val="22"/>
          <w:szCs w:val="22"/>
        </w:rPr>
        <w:tab/>
        <w:t>(5,7%</w:t>
      </w:r>
      <w:r w:rsidRPr="001B2353">
        <w:rPr>
          <w:rFonts w:asciiTheme="minorHAnsi" w:hAnsiTheme="minorHAnsi" w:cs="Arial"/>
          <w:sz w:val="22"/>
          <w:szCs w:val="22"/>
        </w:rPr>
        <w:tab/>
        <w:t xml:space="preserve">              w grudniu 2012 roku)</w:t>
      </w:r>
    </w:p>
    <w:p w:rsidR="006756EC" w:rsidRPr="001B2353" w:rsidRDefault="006756EC" w:rsidP="006756EC">
      <w:pPr>
        <w:spacing w:line="360" w:lineRule="auto"/>
        <w:ind w:left="357" w:firstLine="346"/>
        <w:jc w:val="both"/>
        <w:rPr>
          <w:rFonts w:asciiTheme="minorHAnsi" w:hAnsiTheme="minorHAnsi" w:cs="Arial"/>
          <w:sz w:val="22"/>
          <w:szCs w:val="22"/>
        </w:rPr>
      </w:pPr>
      <w:r w:rsidRPr="001B2353">
        <w:rPr>
          <w:rFonts w:asciiTheme="minorHAnsi" w:hAnsiTheme="minorHAnsi" w:cs="Arial"/>
          <w:sz w:val="22"/>
          <w:szCs w:val="22"/>
        </w:rPr>
        <w:t>wrocławskim grodzkim</w:t>
      </w:r>
      <w:r w:rsidRPr="001B2353">
        <w:rPr>
          <w:rFonts w:asciiTheme="minorHAnsi" w:hAnsiTheme="minorHAnsi" w:cs="Arial"/>
          <w:sz w:val="22"/>
          <w:szCs w:val="22"/>
        </w:rPr>
        <w:tab/>
        <w:t xml:space="preserve"> </w:t>
      </w:r>
      <w:r w:rsidRPr="001B2353">
        <w:rPr>
          <w:rFonts w:asciiTheme="minorHAnsi" w:hAnsiTheme="minorHAnsi" w:cs="Arial"/>
          <w:sz w:val="22"/>
          <w:szCs w:val="22"/>
        </w:rPr>
        <w:tab/>
        <w:t xml:space="preserve"> 5,6%</w:t>
      </w:r>
      <w:r w:rsidRPr="001B2353">
        <w:rPr>
          <w:rFonts w:asciiTheme="minorHAnsi" w:hAnsiTheme="minorHAnsi" w:cs="Arial"/>
          <w:sz w:val="22"/>
          <w:szCs w:val="22"/>
        </w:rPr>
        <w:tab/>
      </w:r>
      <w:r w:rsidRPr="001B2353">
        <w:rPr>
          <w:rFonts w:asciiTheme="minorHAnsi" w:hAnsiTheme="minorHAnsi" w:cs="Arial"/>
          <w:sz w:val="22"/>
          <w:szCs w:val="22"/>
        </w:rPr>
        <w:tab/>
        <w:t xml:space="preserve">(5,7 %   </w:t>
      </w:r>
      <w:r w:rsidRPr="001B2353">
        <w:rPr>
          <w:rFonts w:asciiTheme="minorHAnsi" w:hAnsiTheme="minorHAnsi" w:cs="Arial"/>
          <w:sz w:val="22"/>
          <w:szCs w:val="22"/>
        </w:rPr>
        <w:tab/>
      </w:r>
      <w:r w:rsidR="00E86550" w:rsidRPr="001B2353">
        <w:rPr>
          <w:rFonts w:asciiTheme="minorHAnsi" w:hAnsiTheme="minorHAnsi" w:cs="Arial"/>
          <w:sz w:val="22"/>
          <w:szCs w:val="22"/>
        </w:rPr>
        <w:tab/>
      </w:r>
      <w:r w:rsidR="00E86550" w:rsidRPr="001B2353">
        <w:rPr>
          <w:rFonts w:asciiTheme="minorHAnsi" w:hAnsiTheme="minorHAnsi" w:cs="Arial"/>
          <w:sz w:val="22"/>
          <w:szCs w:val="22"/>
        </w:rPr>
        <w:tab/>
      </w:r>
      <w:r w:rsidRPr="001B2353">
        <w:rPr>
          <w:rFonts w:asciiTheme="minorHAnsi" w:hAnsiTheme="minorHAnsi" w:cs="Arial"/>
          <w:sz w:val="22"/>
          <w:szCs w:val="22"/>
        </w:rPr>
        <w:t xml:space="preserve">„       </w:t>
      </w:r>
      <w:r w:rsidRPr="001B2353">
        <w:rPr>
          <w:rFonts w:asciiTheme="minorHAnsi" w:hAnsiTheme="minorHAnsi" w:cs="Arial"/>
          <w:sz w:val="22"/>
          <w:szCs w:val="22"/>
        </w:rPr>
        <w:tab/>
        <w:t xml:space="preserve">     )</w:t>
      </w:r>
    </w:p>
    <w:p w:rsidR="006756EC" w:rsidRPr="001B2353" w:rsidRDefault="006756EC" w:rsidP="006756EC">
      <w:pPr>
        <w:spacing w:line="360" w:lineRule="auto"/>
        <w:ind w:left="357" w:firstLine="346"/>
        <w:jc w:val="both"/>
        <w:rPr>
          <w:rFonts w:asciiTheme="minorHAnsi" w:hAnsiTheme="minorHAnsi" w:cs="Arial"/>
          <w:sz w:val="22"/>
          <w:szCs w:val="22"/>
        </w:rPr>
      </w:pPr>
      <w:r w:rsidRPr="001B2353">
        <w:rPr>
          <w:rFonts w:asciiTheme="minorHAnsi" w:hAnsiTheme="minorHAnsi" w:cs="Arial"/>
          <w:sz w:val="22"/>
          <w:szCs w:val="22"/>
        </w:rPr>
        <w:t>polkowickim</w:t>
      </w:r>
      <w:r w:rsidRPr="001B2353">
        <w:rPr>
          <w:rFonts w:asciiTheme="minorHAnsi" w:hAnsiTheme="minorHAnsi" w:cs="Arial"/>
          <w:sz w:val="22"/>
          <w:szCs w:val="22"/>
        </w:rPr>
        <w:tab/>
      </w:r>
      <w:r w:rsidRPr="001B2353">
        <w:rPr>
          <w:rFonts w:asciiTheme="minorHAnsi" w:hAnsiTheme="minorHAnsi" w:cs="Arial"/>
          <w:sz w:val="22"/>
          <w:szCs w:val="22"/>
        </w:rPr>
        <w:tab/>
      </w:r>
      <w:r w:rsidRPr="001B2353">
        <w:rPr>
          <w:rFonts w:asciiTheme="minorHAnsi" w:hAnsiTheme="minorHAnsi" w:cs="Arial"/>
          <w:sz w:val="22"/>
          <w:szCs w:val="22"/>
        </w:rPr>
        <w:tab/>
        <w:t xml:space="preserve"> 8,9%</w:t>
      </w:r>
      <w:r w:rsidRPr="001B2353">
        <w:rPr>
          <w:rFonts w:asciiTheme="minorHAnsi" w:hAnsiTheme="minorHAnsi" w:cs="Arial"/>
          <w:sz w:val="22"/>
          <w:szCs w:val="22"/>
        </w:rPr>
        <w:tab/>
      </w:r>
      <w:r w:rsidRPr="001B2353">
        <w:rPr>
          <w:rFonts w:asciiTheme="minorHAnsi" w:hAnsiTheme="minorHAnsi" w:cs="Arial"/>
          <w:sz w:val="22"/>
          <w:szCs w:val="22"/>
        </w:rPr>
        <w:tab/>
        <w:t xml:space="preserve">(9,1%   </w:t>
      </w:r>
      <w:r w:rsidRPr="001B2353">
        <w:rPr>
          <w:rFonts w:asciiTheme="minorHAnsi" w:hAnsiTheme="minorHAnsi" w:cs="Arial"/>
          <w:sz w:val="22"/>
          <w:szCs w:val="22"/>
        </w:rPr>
        <w:tab/>
        <w:t xml:space="preserve">   </w:t>
      </w:r>
      <w:r w:rsidR="00E86550" w:rsidRPr="001B2353">
        <w:rPr>
          <w:rFonts w:asciiTheme="minorHAnsi" w:hAnsiTheme="minorHAnsi" w:cs="Arial"/>
          <w:sz w:val="22"/>
          <w:szCs w:val="22"/>
        </w:rPr>
        <w:tab/>
      </w:r>
      <w:r w:rsidR="00E86550" w:rsidRPr="001B2353">
        <w:rPr>
          <w:rFonts w:asciiTheme="minorHAnsi" w:hAnsiTheme="minorHAnsi" w:cs="Arial"/>
          <w:sz w:val="22"/>
          <w:szCs w:val="22"/>
        </w:rPr>
        <w:tab/>
      </w:r>
      <w:r w:rsidRPr="001B2353">
        <w:rPr>
          <w:rFonts w:asciiTheme="minorHAnsi" w:hAnsiTheme="minorHAnsi" w:cs="Arial"/>
          <w:sz w:val="22"/>
          <w:szCs w:val="22"/>
        </w:rPr>
        <w:t xml:space="preserve">„     </w:t>
      </w:r>
      <w:r w:rsidRPr="001B2353">
        <w:rPr>
          <w:rFonts w:asciiTheme="minorHAnsi" w:hAnsiTheme="minorHAnsi" w:cs="Arial"/>
          <w:sz w:val="22"/>
          <w:szCs w:val="22"/>
        </w:rPr>
        <w:tab/>
        <w:t xml:space="preserve">     )</w:t>
      </w:r>
    </w:p>
    <w:p w:rsidR="006756EC" w:rsidRPr="001B2353" w:rsidRDefault="006756EC" w:rsidP="006756EC">
      <w:pPr>
        <w:spacing w:line="360" w:lineRule="auto"/>
        <w:ind w:left="357" w:firstLine="346"/>
        <w:jc w:val="both"/>
        <w:rPr>
          <w:rFonts w:asciiTheme="minorHAnsi" w:hAnsiTheme="minorHAnsi" w:cs="Arial"/>
          <w:sz w:val="22"/>
          <w:szCs w:val="22"/>
          <w:highlight w:val="yellow"/>
        </w:rPr>
      </w:pPr>
      <w:r w:rsidRPr="001B2353">
        <w:rPr>
          <w:rFonts w:asciiTheme="minorHAnsi" w:hAnsiTheme="minorHAnsi" w:cs="Arial"/>
          <w:sz w:val="22"/>
          <w:szCs w:val="22"/>
        </w:rPr>
        <w:t>jeleniogórskim grodzkim</w:t>
      </w:r>
      <w:r w:rsidRPr="001B2353">
        <w:rPr>
          <w:rFonts w:asciiTheme="minorHAnsi" w:hAnsiTheme="minorHAnsi" w:cs="Arial"/>
          <w:sz w:val="22"/>
          <w:szCs w:val="22"/>
        </w:rPr>
        <w:tab/>
        <w:t xml:space="preserve"> 9,2%</w:t>
      </w:r>
      <w:r w:rsidRPr="001B2353">
        <w:rPr>
          <w:rFonts w:asciiTheme="minorHAnsi" w:hAnsiTheme="minorHAnsi" w:cs="Arial"/>
          <w:sz w:val="22"/>
          <w:szCs w:val="22"/>
        </w:rPr>
        <w:tab/>
      </w:r>
      <w:r w:rsidRPr="001B2353">
        <w:rPr>
          <w:rFonts w:asciiTheme="minorHAnsi" w:hAnsiTheme="minorHAnsi" w:cs="Arial"/>
          <w:sz w:val="22"/>
          <w:szCs w:val="22"/>
        </w:rPr>
        <w:tab/>
        <w:t>(10,1%</w:t>
      </w:r>
      <w:r w:rsidRPr="001B2353">
        <w:rPr>
          <w:rFonts w:asciiTheme="minorHAnsi" w:hAnsiTheme="minorHAnsi" w:cs="Arial"/>
          <w:sz w:val="22"/>
          <w:szCs w:val="22"/>
        </w:rPr>
        <w:tab/>
      </w:r>
      <w:r w:rsidR="00E86550" w:rsidRPr="001B2353">
        <w:rPr>
          <w:rFonts w:asciiTheme="minorHAnsi" w:hAnsiTheme="minorHAnsi" w:cs="Arial"/>
          <w:sz w:val="22"/>
          <w:szCs w:val="22"/>
        </w:rPr>
        <w:tab/>
      </w:r>
      <w:r w:rsidR="00E86550" w:rsidRPr="001B2353">
        <w:rPr>
          <w:rFonts w:asciiTheme="minorHAnsi" w:hAnsiTheme="minorHAnsi" w:cs="Arial"/>
          <w:sz w:val="22"/>
          <w:szCs w:val="22"/>
        </w:rPr>
        <w:tab/>
      </w:r>
      <w:r w:rsidRPr="001B2353">
        <w:rPr>
          <w:rFonts w:asciiTheme="minorHAnsi" w:hAnsiTheme="minorHAnsi" w:cs="Arial"/>
          <w:sz w:val="22"/>
          <w:szCs w:val="22"/>
        </w:rPr>
        <w:t>„</w:t>
      </w:r>
      <w:r w:rsidRPr="001B2353">
        <w:rPr>
          <w:rFonts w:asciiTheme="minorHAnsi" w:hAnsiTheme="minorHAnsi" w:cs="Arial"/>
          <w:sz w:val="22"/>
          <w:szCs w:val="22"/>
        </w:rPr>
        <w:tab/>
        <w:t xml:space="preserve">     )</w:t>
      </w:r>
    </w:p>
    <w:p w:rsidR="006756EC" w:rsidRPr="001B2353" w:rsidRDefault="006756EC" w:rsidP="006756EC">
      <w:pPr>
        <w:spacing w:line="360" w:lineRule="auto"/>
        <w:jc w:val="both"/>
        <w:rPr>
          <w:rFonts w:asciiTheme="minorHAnsi" w:hAnsiTheme="minorHAnsi" w:cs="Arial"/>
          <w:sz w:val="22"/>
          <w:szCs w:val="22"/>
          <w:highlight w:val="yellow"/>
        </w:rPr>
      </w:pPr>
    </w:p>
    <w:p w:rsidR="006756EC" w:rsidRPr="001B2353" w:rsidRDefault="006756EC" w:rsidP="006756EC">
      <w:pPr>
        <w:spacing w:line="360" w:lineRule="auto"/>
        <w:ind w:firstLine="348"/>
        <w:jc w:val="both"/>
        <w:rPr>
          <w:rFonts w:asciiTheme="minorHAnsi" w:hAnsiTheme="minorHAnsi" w:cs="Arial"/>
          <w:sz w:val="22"/>
          <w:szCs w:val="22"/>
        </w:rPr>
      </w:pPr>
      <w:r w:rsidRPr="001B2353">
        <w:rPr>
          <w:rFonts w:asciiTheme="minorHAnsi" w:hAnsiTheme="minorHAnsi" w:cs="Arial"/>
          <w:sz w:val="22"/>
          <w:szCs w:val="22"/>
        </w:rPr>
        <w:t>W 10 powiatach odnotowano wzrost stopy bezrobocia w porównaniu ze stanem na koniec grudnia 2012 r., z czego najwyższy (co najmniej 0,5 punktu procentowego) w powiecie oławskim (o 1,6 punktu procentowego), złotoryjskim (o 0,8 punktu procentowego) oraz lwóweckim (0,5 punktu procentowego). Spadek stopy bezrobocia odnotowano w 14 powiatach, w tym największy (co najmniej o 1,0 punkt procentowy) w powiecie kamiennogórskim o 2,1 punktu procentowego, lubańskim o 1,6 punktu procentowego, świdnickim i jeleniogórskim ziemskim o 1,2  punktu procentowego, bolesławieckim o 1,1 punktu procentowego oraz w powiecie jaworskim o 1,0 punkt procentowy. W powiecie oleśnickim poziom stopy bezrobocia był taki sam jak przed rokiem. Dla powiatów wałbrzyskiego ziemskiego i wałbrzyskiego grodzkiego nie można dokonać takiego porównania ze względu na brak danych za 2012 r.</w:t>
      </w:r>
    </w:p>
    <w:p w:rsidR="006756EC" w:rsidRPr="001B2353" w:rsidRDefault="006756EC" w:rsidP="006756EC">
      <w:pPr>
        <w:spacing w:line="360" w:lineRule="auto"/>
        <w:ind w:firstLine="348"/>
        <w:jc w:val="both"/>
        <w:rPr>
          <w:rFonts w:asciiTheme="minorHAnsi" w:hAnsiTheme="minorHAnsi" w:cs="Arial"/>
          <w:sz w:val="22"/>
          <w:szCs w:val="22"/>
        </w:rPr>
      </w:pPr>
      <w:r w:rsidRPr="001B2353">
        <w:rPr>
          <w:rFonts w:asciiTheme="minorHAnsi" w:hAnsiTheme="minorHAnsi" w:cs="Arial"/>
          <w:sz w:val="22"/>
          <w:szCs w:val="22"/>
        </w:rPr>
        <w:t>Zmiany poziomu stopy bezrobocia w układzie podregionów w okresie grudzień 2012 – grudzień 2013 roku przedstawia poniższa tabela.</w:t>
      </w:r>
    </w:p>
    <w:tbl>
      <w:tblPr>
        <w:tblW w:w="8750" w:type="dxa"/>
        <w:jc w:val="center"/>
        <w:tblInd w:w="-1810" w:type="dxa"/>
        <w:tblCellMar>
          <w:left w:w="70" w:type="dxa"/>
          <w:right w:w="70" w:type="dxa"/>
        </w:tblCellMar>
        <w:tblLook w:val="04A0" w:firstRow="1" w:lastRow="0" w:firstColumn="1" w:lastColumn="0" w:noHBand="0" w:noVBand="1"/>
      </w:tblPr>
      <w:tblGrid>
        <w:gridCol w:w="4690"/>
        <w:gridCol w:w="1300"/>
        <w:gridCol w:w="1280"/>
        <w:gridCol w:w="1480"/>
      </w:tblGrid>
      <w:tr w:rsidR="006756EC" w:rsidRPr="001B2353" w:rsidTr="00D12284">
        <w:trPr>
          <w:trHeight w:val="227"/>
          <w:jc w:val="center"/>
        </w:trPr>
        <w:tc>
          <w:tcPr>
            <w:tcW w:w="4690" w:type="dxa"/>
            <w:vMerge w:val="restart"/>
            <w:tcBorders>
              <w:top w:val="single" w:sz="8" w:space="0" w:color="auto"/>
              <w:left w:val="single" w:sz="8" w:space="0" w:color="auto"/>
              <w:bottom w:val="nil"/>
              <w:right w:val="single" w:sz="8" w:space="0" w:color="auto"/>
            </w:tcBorders>
            <w:shd w:val="clear" w:color="auto" w:fill="auto"/>
            <w:vAlign w:val="center"/>
            <w:hideMark/>
          </w:tcPr>
          <w:p w:rsidR="006756EC" w:rsidRPr="001B2353" w:rsidRDefault="006756EC" w:rsidP="001B2353">
            <w:pPr>
              <w:jc w:val="center"/>
              <w:rPr>
                <w:rFonts w:asciiTheme="minorHAnsi" w:hAnsiTheme="minorHAnsi" w:cs="Arial"/>
                <w:color w:val="000000"/>
                <w:sz w:val="22"/>
                <w:szCs w:val="22"/>
              </w:rPr>
            </w:pPr>
            <w:r w:rsidRPr="001B2353">
              <w:rPr>
                <w:rFonts w:asciiTheme="minorHAnsi" w:hAnsiTheme="minorHAnsi" w:cs="Arial"/>
                <w:color w:val="000000"/>
                <w:sz w:val="22"/>
                <w:szCs w:val="22"/>
              </w:rPr>
              <w:t>Podregiony</w:t>
            </w:r>
          </w:p>
        </w:tc>
        <w:tc>
          <w:tcPr>
            <w:tcW w:w="4060" w:type="dxa"/>
            <w:gridSpan w:val="3"/>
            <w:tcBorders>
              <w:top w:val="single" w:sz="8" w:space="0" w:color="auto"/>
              <w:left w:val="nil"/>
              <w:bottom w:val="nil"/>
              <w:right w:val="single" w:sz="8" w:space="0" w:color="000000"/>
            </w:tcBorders>
            <w:shd w:val="clear" w:color="auto" w:fill="auto"/>
            <w:vAlign w:val="center"/>
            <w:hideMark/>
          </w:tcPr>
          <w:p w:rsidR="006756EC" w:rsidRPr="001B2353" w:rsidRDefault="006756EC" w:rsidP="001B2353">
            <w:pPr>
              <w:jc w:val="center"/>
              <w:rPr>
                <w:rFonts w:asciiTheme="minorHAnsi" w:hAnsiTheme="minorHAnsi" w:cs="Arial"/>
                <w:color w:val="000000"/>
                <w:sz w:val="22"/>
                <w:szCs w:val="22"/>
              </w:rPr>
            </w:pPr>
            <w:r w:rsidRPr="001B2353">
              <w:rPr>
                <w:rFonts w:asciiTheme="minorHAnsi" w:hAnsiTheme="minorHAnsi" w:cs="Arial"/>
                <w:color w:val="000000"/>
                <w:sz w:val="22"/>
                <w:szCs w:val="22"/>
              </w:rPr>
              <w:t>Stopa bezrobocia w %</w:t>
            </w:r>
          </w:p>
        </w:tc>
      </w:tr>
      <w:tr w:rsidR="006756EC" w:rsidRPr="001B2353" w:rsidTr="00D12284">
        <w:trPr>
          <w:trHeight w:val="227"/>
          <w:jc w:val="center"/>
        </w:trPr>
        <w:tc>
          <w:tcPr>
            <w:tcW w:w="4690" w:type="dxa"/>
            <w:vMerge/>
            <w:tcBorders>
              <w:top w:val="single" w:sz="8" w:space="0" w:color="auto"/>
              <w:left w:val="single" w:sz="8" w:space="0" w:color="auto"/>
              <w:bottom w:val="nil"/>
              <w:right w:val="single" w:sz="8" w:space="0" w:color="auto"/>
            </w:tcBorders>
            <w:vAlign w:val="center"/>
            <w:hideMark/>
          </w:tcPr>
          <w:p w:rsidR="006756EC" w:rsidRPr="001B2353" w:rsidRDefault="006756EC" w:rsidP="001B2353">
            <w:pPr>
              <w:rPr>
                <w:rFonts w:asciiTheme="minorHAnsi" w:hAnsiTheme="minorHAnsi" w:cs="Arial"/>
                <w:color w:val="000000"/>
                <w:sz w:val="22"/>
                <w:szCs w:val="22"/>
              </w:rPr>
            </w:pPr>
          </w:p>
        </w:tc>
        <w:tc>
          <w:tcPr>
            <w:tcW w:w="4060" w:type="dxa"/>
            <w:gridSpan w:val="3"/>
            <w:tcBorders>
              <w:top w:val="nil"/>
              <w:left w:val="nil"/>
              <w:bottom w:val="single" w:sz="8" w:space="0" w:color="auto"/>
              <w:right w:val="single" w:sz="8" w:space="0" w:color="000000"/>
            </w:tcBorders>
            <w:shd w:val="clear" w:color="auto" w:fill="auto"/>
            <w:vAlign w:val="center"/>
            <w:hideMark/>
          </w:tcPr>
          <w:p w:rsidR="006756EC" w:rsidRPr="001B2353" w:rsidRDefault="006756EC" w:rsidP="001B2353">
            <w:pPr>
              <w:jc w:val="center"/>
              <w:rPr>
                <w:rFonts w:asciiTheme="minorHAnsi" w:hAnsiTheme="minorHAnsi" w:cs="Arial"/>
                <w:color w:val="000000"/>
                <w:sz w:val="22"/>
                <w:szCs w:val="22"/>
              </w:rPr>
            </w:pPr>
            <w:r w:rsidRPr="001B2353">
              <w:rPr>
                <w:rFonts w:asciiTheme="minorHAnsi" w:hAnsiTheme="minorHAnsi" w:cs="Arial"/>
                <w:color w:val="000000"/>
                <w:sz w:val="22"/>
                <w:szCs w:val="22"/>
              </w:rPr>
              <w:t>(stan na dzień)</w:t>
            </w:r>
          </w:p>
        </w:tc>
      </w:tr>
      <w:tr w:rsidR="006756EC" w:rsidRPr="001B2353" w:rsidTr="00D12284">
        <w:trPr>
          <w:trHeight w:val="227"/>
          <w:jc w:val="center"/>
        </w:trPr>
        <w:tc>
          <w:tcPr>
            <w:tcW w:w="4690" w:type="dxa"/>
            <w:vMerge/>
            <w:tcBorders>
              <w:top w:val="single" w:sz="8" w:space="0" w:color="auto"/>
              <w:left w:val="single" w:sz="8" w:space="0" w:color="auto"/>
              <w:bottom w:val="nil"/>
              <w:right w:val="single" w:sz="8" w:space="0" w:color="auto"/>
            </w:tcBorders>
            <w:vAlign w:val="center"/>
            <w:hideMark/>
          </w:tcPr>
          <w:p w:rsidR="006756EC" w:rsidRPr="001B2353" w:rsidRDefault="006756EC" w:rsidP="001B2353">
            <w:pPr>
              <w:rPr>
                <w:rFonts w:asciiTheme="minorHAnsi" w:hAnsiTheme="minorHAnsi" w:cs="Arial"/>
                <w:color w:val="000000"/>
                <w:sz w:val="22"/>
                <w:szCs w:val="22"/>
              </w:rPr>
            </w:pPr>
          </w:p>
        </w:tc>
        <w:tc>
          <w:tcPr>
            <w:tcW w:w="1300" w:type="dxa"/>
            <w:tcBorders>
              <w:top w:val="nil"/>
              <w:left w:val="nil"/>
              <w:bottom w:val="nil"/>
              <w:right w:val="single" w:sz="8" w:space="0" w:color="auto"/>
            </w:tcBorders>
            <w:shd w:val="clear" w:color="auto" w:fill="auto"/>
            <w:vAlign w:val="center"/>
            <w:hideMark/>
          </w:tcPr>
          <w:p w:rsidR="006756EC" w:rsidRPr="001B2353" w:rsidRDefault="006756EC" w:rsidP="00E86550">
            <w:pPr>
              <w:jc w:val="center"/>
              <w:rPr>
                <w:rFonts w:asciiTheme="minorHAnsi" w:hAnsiTheme="minorHAnsi" w:cs="Arial"/>
                <w:color w:val="000000"/>
                <w:sz w:val="22"/>
                <w:szCs w:val="22"/>
              </w:rPr>
            </w:pPr>
            <w:r w:rsidRPr="001B2353">
              <w:rPr>
                <w:rFonts w:asciiTheme="minorHAnsi" w:hAnsiTheme="minorHAnsi" w:cs="Arial"/>
                <w:color w:val="000000"/>
                <w:sz w:val="22"/>
                <w:szCs w:val="22"/>
              </w:rPr>
              <w:t>31.</w:t>
            </w:r>
            <w:r w:rsidR="00E86550" w:rsidRPr="001B2353">
              <w:rPr>
                <w:rFonts w:asciiTheme="minorHAnsi" w:hAnsiTheme="minorHAnsi" w:cs="Arial"/>
                <w:color w:val="000000"/>
                <w:sz w:val="22"/>
                <w:szCs w:val="22"/>
              </w:rPr>
              <w:t>12</w:t>
            </w:r>
            <w:r w:rsidRPr="001B2353">
              <w:rPr>
                <w:rFonts w:asciiTheme="minorHAnsi" w:hAnsiTheme="minorHAnsi" w:cs="Arial"/>
                <w:color w:val="000000"/>
                <w:sz w:val="22"/>
                <w:szCs w:val="22"/>
              </w:rPr>
              <w:t>.2012</w:t>
            </w:r>
          </w:p>
        </w:tc>
        <w:tc>
          <w:tcPr>
            <w:tcW w:w="1280" w:type="dxa"/>
            <w:tcBorders>
              <w:top w:val="nil"/>
              <w:left w:val="nil"/>
              <w:bottom w:val="nil"/>
              <w:right w:val="single" w:sz="8" w:space="0" w:color="auto"/>
            </w:tcBorders>
            <w:shd w:val="clear" w:color="auto" w:fill="auto"/>
            <w:vAlign w:val="center"/>
            <w:hideMark/>
          </w:tcPr>
          <w:p w:rsidR="006756EC" w:rsidRPr="001B2353" w:rsidRDefault="006756EC" w:rsidP="00E86550">
            <w:pPr>
              <w:jc w:val="center"/>
              <w:rPr>
                <w:rFonts w:asciiTheme="minorHAnsi" w:hAnsiTheme="minorHAnsi" w:cs="Arial"/>
                <w:color w:val="000000"/>
                <w:sz w:val="22"/>
                <w:szCs w:val="22"/>
              </w:rPr>
            </w:pPr>
            <w:r w:rsidRPr="001B2353">
              <w:rPr>
                <w:rFonts w:asciiTheme="minorHAnsi" w:hAnsiTheme="minorHAnsi" w:cs="Arial"/>
                <w:color w:val="000000"/>
                <w:sz w:val="22"/>
                <w:szCs w:val="22"/>
              </w:rPr>
              <w:t>3</w:t>
            </w:r>
            <w:r w:rsidR="00E86550" w:rsidRPr="001B2353">
              <w:rPr>
                <w:rFonts w:asciiTheme="minorHAnsi" w:hAnsiTheme="minorHAnsi" w:cs="Arial"/>
                <w:color w:val="000000"/>
                <w:sz w:val="22"/>
                <w:szCs w:val="22"/>
              </w:rPr>
              <w:t>0</w:t>
            </w:r>
            <w:r w:rsidRPr="001B2353">
              <w:rPr>
                <w:rFonts w:asciiTheme="minorHAnsi" w:hAnsiTheme="minorHAnsi" w:cs="Arial"/>
                <w:color w:val="000000"/>
                <w:sz w:val="22"/>
                <w:szCs w:val="22"/>
              </w:rPr>
              <w:t>.</w:t>
            </w:r>
            <w:r w:rsidR="00E86550" w:rsidRPr="001B2353">
              <w:rPr>
                <w:rFonts w:asciiTheme="minorHAnsi" w:hAnsiTheme="minorHAnsi" w:cs="Arial"/>
                <w:color w:val="000000"/>
                <w:sz w:val="22"/>
                <w:szCs w:val="22"/>
              </w:rPr>
              <w:t>11</w:t>
            </w:r>
            <w:r w:rsidRPr="001B2353">
              <w:rPr>
                <w:rFonts w:asciiTheme="minorHAnsi" w:hAnsiTheme="minorHAnsi" w:cs="Arial"/>
                <w:color w:val="000000"/>
                <w:sz w:val="22"/>
                <w:szCs w:val="22"/>
              </w:rPr>
              <w:t xml:space="preserve">.2013 </w:t>
            </w:r>
          </w:p>
        </w:tc>
        <w:tc>
          <w:tcPr>
            <w:tcW w:w="1480" w:type="dxa"/>
            <w:tcBorders>
              <w:top w:val="nil"/>
              <w:left w:val="nil"/>
              <w:bottom w:val="nil"/>
              <w:right w:val="single" w:sz="8" w:space="0" w:color="auto"/>
            </w:tcBorders>
            <w:shd w:val="clear" w:color="000000" w:fill="FFFF00"/>
            <w:vAlign w:val="center"/>
            <w:hideMark/>
          </w:tcPr>
          <w:p w:rsidR="006756EC" w:rsidRPr="001B2353" w:rsidRDefault="006756EC" w:rsidP="00E86550">
            <w:pPr>
              <w:jc w:val="center"/>
              <w:rPr>
                <w:rFonts w:asciiTheme="minorHAnsi" w:hAnsiTheme="minorHAnsi" w:cs="Arial"/>
                <w:b/>
                <w:bCs/>
                <w:color w:val="000000"/>
                <w:sz w:val="22"/>
                <w:szCs w:val="22"/>
              </w:rPr>
            </w:pPr>
            <w:r w:rsidRPr="001B2353">
              <w:rPr>
                <w:rFonts w:asciiTheme="minorHAnsi" w:hAnsiTheme="minorHAnsi" w:cs="Arial"/>
                <w:b/>
                <w:bCs/>
                <w:color w:val="000000"/>
                <w:sz w:val="22"/>
                <w:szCs w:val="22"/>
              </w:rPr>
              <w:t>31.</w:t>
            </w:r>
            <w:r w:rsidR="00E86550" w:rsidRPr="001B2353">
              <w:rPr>
                <w:rFonts w:asciiTheme="minorHAnsi" w:hAnsiTheme="minorHAnsi" w:cs="Arial"/>
                <w:b/>
                <w:bCs/>
                <w:color w:val="000000"/>
                <w:sz w:val="22"/>
                <w:szCs w:val="22"/>
              </w:rPr>
              <w:t>12</w:t>
            </w:r>
            <w:r w:rsidRPr="001B2353">
              <w:rPr>
                <w:rFonts w:asciiTheme="minorHAnsi" w:hAnsiTheme="minorHAnsi" w:cs="Arial"/>
                <w:b/>
                <w:bCs/>
                <w:color w:val="000000"/>
                <w:sz w:val="22"/>
                <w:szCs w:val="22"/>
              </w:rPr>
              <w:t>.2013</w:t>
            </w:r>
          </w:p>
        </w:tc>
      </w:tr>
      <w:tr w:rsidR="006756EC" w:rsidRPr="001B2353" w:rsidTr="00D12284">
        <w:trPr>
          <w:trHeight w:val="227"/>
          <w:jc w:val="center"/>
        </w:trPr>
        <w:tc>
          <w:tcPr>
            <w:tcW w:w="4690"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6756EC" w:rsidRPr="001B2353" w:rsidRDefault="006756EC" w:rsidP="001B2353">
            <w:pPr>
              <w:rPr>
                <w:rFonts w:asciiTheme="minorHAnsi" w:hAnsiTheme="minorHAnsi" w:cs="Arial"/>
                <w:b/>
                <w:bCs/>
                <w:color w:val="000000"/>
                <w:sz w:val="22"/>
                <w:szCs w:val="22"/>
              </w:rPr>
            </w:pPr>
            <w:r w:rsidRPr="001B2353">
              <w:rPr>
                <w:rFonts w:asciiTheme="minorHAnsi" w:hAnsiTheme="minorHAnsi" w:cs="Arial"/>
                <w:b/>
                <w:bCs/>
                <w:color w:val="000000"/>
                <w:sz w:val="22"/>
                <w:szCs w:val="22"/>
              </w:rPr>
              <w:t>Polska</w:t>
            </w:r>
          </w:p>
        </w:tc>
        <w:tc>
          <w:tcPr>
            <w:tcW w:w="1300" w:type="dxa"/>
            <w:tcBorders>
              <w:top w:val="single" w:sz="8" w:space="0" w:color="auto"/>
              <w:left w:val="nil"/>
              <w:bottom w:val="single" w:sz="8" w:space="0" w:color="auto"/>
              <w:right w:val="single" w:sz="8" w:space="0" w:color="auto"/>
            </w:tcBorders>
            <w:shd w:val="clear" w:color="auto" w:fill="auto"/>
            <w:vAlign w:val="center"/>
            <w:hideMark/>
          </w:tcPr>
          <w:p w:rsidR="006756EC" w:rsidRPr="001B2353" w:rsidRDefault="006756EC" w:rsidP="001B2353">
            <w:pPr>
              <w:jc w:val="center"/>
              <w:rPr>
                <w:rFonts w:asciiTheme="minorHAnsi" w:hAnsiTheme="minorHAnsi" w:cs="Arial"/>
                <w:b/>
                <w:bCs/>
                <w:color w:val="000000"/>
                <w:sz w:val="22"/>
                <w:szCs w:val="22"/>
              </w:rPr>
            </w:pPr>
            <w:r w:rsidRPr="001B2353">
              <w:rPr>
                <w:rFonts w:asciiTheme="minorHAnsi" w:hAnsiTheme="minorHAnsi" w:cs="Arial"/>
                <w:b/>
                <w:bCs/>
                <w:color w:val="000000"/>
                <w:sz w:val="22"/>
                <w:szCs w:val="22"/>
              </w:rPr>
              <w:t>13,4</w:t>
            </w:r>
          </w:p>
        </w:tc>
        <w:tc>
          <w:tcPr>
            <w:tcW w:w="1280" w:type="dxa"/>
            <w:tcBorders>
              <w:top w:val="single" w:sz="8" w:space="0" w:color="auto"/>
              <w:left w:val="nil"/>
              <w:bottom w:val="single" w:sz="8" w:space="0" w:color="auto"/>
              <w:right w:val="single" w:sz="8" w:space="0" w:color="auto"/>
            </w:tcBorders>
            <w:shd w:val="clear" w:color="auto" w:fill="auto"/>
            <w:vAlign w:val="center"/>
            <w:hideMark/>
          </w:tcPr>
          <w:p w:rsidR="006756EC" w:rsidRPr="001B2353" w:rsidRDefault="006756EC" w:rsidP="001B2353">
            <w:pPr>
              <w:jc w:val="center"/>
              <w:rPr>
                <w:rFonts w:asciiTheme="minorHAnsi" w:hAnsiTheme="minorHAnsi" w:cs="Arial"/>
                <w:b/>
                <w:bCs/>
                <w:color w:val="000000"/>
                <w:sz w:val="22"/>
                <w:szCs w:val="22"/>
              </w:rPr>
            </w:pPr>
            <w:r w:rsidRPr="001B2353">
              <w:rPr>
                <w:rFonts w:asciiTheme="minorHAnsi" w:hAnsiTheme="minorHAnsi" w:cs="Arial"/>
                <w:b/>
                <w:bCs/>
                <w:color w:val="000000"/>
                <w:sz w:val="22"/>
                <w:szCs w:val="22"/>
              </w:rPr>
              <w:t>13,2</w:t>
            </w:r>
          </w:p>
        </w:tc>
        <w:tc>
          <w:tcPr>
            <w:tcW w:w="1480" w:type="dxa"/>
            <w:tcBorders>
              <w:top w:val="single" w:sz="8" w:space="0" w:color="auto"/>
              <w:left w:val="nil"/>
              <w:bottom w:val="single" w:sz="8" w:space="0" w:color="auto"/>
              <w:right w:val="single" w:sz="8" w:space="0" w:color="auto"/>
            </w:tcBorders>
            <w:shd w:val="clear" w:color="000000" w:fill="FFFF00"/>
            <w:vAlign w:val="center"/>
            <w:hideMark/>
          </w:tcPr>
          <w:p w:rsidR="006756EC" w:rsidRPr="001B2353" w:rsidRDefault="006756EC" w:rsidP="001B2353">
            <w:pPr>
              <w:jc w:val="center"/>
              <w:rPr>
                <w:rFonts w:asciiTheme="minorHAnsi" w:hAnsiTheme="minorHAnsi" w:cs="Arial"/>
                <w:b/>
                <w:bCs/>
                <w:sz w:val="22"/>
                <w:szCs w:val="22"/>
              </w:rPr>
            </w:pPr>
            <w:r w:rsidRPr="001B2353">
              <w:rPr>
                <w:rFonts w:asciiTheme="minorHAnsi" w:hAnsiTheme="minorHAnsi" w:cs="Arial"/>
                <w:b/>
                <w:bCs/>
                <w:sz w:val="22"/>
                <w:szCs w:val="22"/>
              </w:rPr>
              <w:t>13,4</w:t>
            </w:r>
          </w:p>
        </w:tc>
      </w:tr>
      <w:tr w:rsidR="006756EC" w:rsidRPr="001B2353" w:rsidTr="00D12284">
        <w:trPr>
          <w:trHeight w:val="227"/>
          <w:jc w:val="center"/>
        </w:trPr>
        <w:tc>
          <w:tcPr>
            <w:tcW w:w="4690" w:type="dxa"/>
            <w:tcBorders>
              <w:top w:val="nil"/>
              <w:left w:val="single" w:sz="8" w:space="0" w:color="auto"/>
              <w:bottom w:val="single" w:sz="8" w:space="0" w:color="auto"/>
              <w:right w:val="single" w:sz="8" w:space="0" w:color="auto"/>
            </w:tcBorders>
            <w:shd w:val="clear" w:color="auto" w:fill="auto"/>
            <w:vAlign w:val="bottom"/>
            <w:hideMark/>
          </w:tcPr>
          <w:p w:rsidR="006756EC" w:rsidRPr="001B2353" w:rsidRDefault="006756EC" w:rsidP="001B2353">
            <w:pPr>
              <w:rPr>
                <w:rFonts w:asciiTheme="minorHAnsi" w:hAnsiTheme="minorHAnsi" w:cs="Arial"/>
                <w:color w:val="000000"/>
                <w:sz w:val="22"/>
                <w:szCs w:val="22"/>
              </w:rPr>
            </w:pPr>
            <w:r w:rsidRPr="001B2353">
              <w:rPr>
                <w:rFonts w:asciiTheme="minorHAnsi" w:hAnsiTheme="minorHAnsi" w:cs="Arial"/>
                <w:color w:val="000000"/>
                <w:sz w:val="22"/>
                <w:szCs w:val="22"/>
              </w:rPr>
              <w:t>Województwo dolnośląskie</w:t>
            </w:r>
          </w:p>
        </w:tc>
        <w:tc>
          <w:tcPr>
            <w:tcW w:w="1300" w:type="dxa"/>
            <w:tcBorders>
              <w:top w:val="nil"/>
              <w:left w:val="nil"/>
              <w:bottom w:val="single" w:sz="8" w:space="0" w:color="auto"/>
              <w:right w:val="single" w:sz="8" w:space="0" w:color="auto"/>
            </w:tcBorders>
            <w:shd w:val="clear" w:color="auto" w:fill="auto"/>
            <w:vAlign w:val="center"/>
            <w:hideMark/>
          </w:tcPr>
          <w:p w:rsidR="006756EC" w:rsidRPr="001B2353" w:rsidRDefault="006756EC" w:rsidP="001B2353">
            <w:pPr>
              <w:jc w:val="center"/>
              <w:rPr>
                <w:rFonts w:asciiTheme="minorHAnsi" w:hAnsiTheme="minorHAnsi" w:cs="Arial"/>
                <w:sz w:val="22"/>
                <w:szCs w:val="22"/>
              </w:rPr>
            </w:pPr>
            <w:r w:rsidRPr="001B2353">
              <w:rPr>
                <w:rFonts w:asciiTheme="minorHAnsi" w:hAnsiTheme="minorHAnsi" w:cs="Arial"/>
                <w:sz w:val="22"/>
                <w:szCs w:val="22"/>
              </w:rPr>
              <w:t>13,5</w:t>
            </w:r>
          </w:p>
        </w:tc>
        <w:tc>
          <w:tcPr>
            <w:tcW w:w="1280" w:type="dxa"/>
            <w:tcBorders>
              <w:top w:val="nil"/>
              <w:left w:val="nil"/>
              <w:bottom w:val="single" w:sz="8" w:space="0" w:color="auto"/>
              <w:right w:val="single" w:sz="8" w:space="0" w:color="auto"/>
            </w:tcBorders>
            <w:shd w:val="clear" w:color="auto" w:fill="auto"/>
            <w:vAlign w:val="center"/>
            <w:hideMark/>
          </w:tcPr>
          <w:p w:rsidR="006756EC" w:rsidRPr="001B2353" w:rsidRDefault="006756EC" w:rsidP="001B2353">
            <w:pPr>
              <w:jc w:val="center"/>
              <w:rPr>
                <w:rFonts w:asciiTheme="minorHAnsi" w:hAnsiTheme="minorHAnsi" w:cs="Arial"/>
                <w:sz w:val="22"/>
                <w:szCs w:val="22"/>
              </w:rPr>
            </w:pPr>
            <w:r w:rsidRPr="001B2353">
              <w:rPr>
                <w:rFonts w:asciiTheme="minorHAnsi" w:hAnsiTheme="minorHAnsi" w:cs="Arial"/>
                <w:sz w:val="22"/>
                <w:szCs w:val="22"/>
              </w:rPr>
              <w:t>13,0</w:t>
            </w:r>
          </w:p>
        </w:tc>
        <w:tc>
          <w:tcPr>
            <w:tcW w:w="1480" w:type="dxa"/>
            <w:tcBorders>
              <w:top w:val="nil"/>
              <w:left w:val="nil"/>
              <w:bottom w:val="single" w:sz="8" w:space="0" w:color="auto"/>
              <w:right w:val="single" w:sz="8" w:space="0" w:color="auto"/>
            </w:tcBorders>
            <w:shd w:val="clear" w:color="000000" w:fill="FFFF00"/>
            <w:vAlign w:val="center"/>
            <w:hideMark/>
          </w:tcPr>
          <w:p w:rsidR="006756EC" w:rsidRPr="001B2353" w:rsidRDefault="006756EC" w:rsidP="001B2353">
            <w:pPr>
              <w:jc w:val="center"/>
              <w:rPr>
                <w:rFonts w:asciiTheme="minorHAnsi" w:hAnsiTheme="minorHAnsi" w:cs="Arial"/>
                <w:b/>
                <w:bCs/>
                <w:sz w:val="22"/>
                <w:szCs w:val="22"/>
              </w:rPr>
            </w:pPr>
            <w:r w:rsidRPr="001B2353">
              <w:rPr>
                <w:rFonts w:asciiTheme="minorHAnsi" w:hAnsiTheme="minorHAnsi" w:cs="Arial"/>
                <w:b/>
                <w:bCs/>
                <w:sz w:val="22"/>
                <w:szCs w:val="22"/>
              </w:rPr>
              <w:t>13,2</w:t>
            </w:r>
          </w:p>
        </w:tc>
      </w:tr>
      <w:tr w:rsidR="006756EC" w:rsidRPr="001B2353" w:rsidTr="00D12284">
        <w:trPr>
          <w:trHeight w:val="227"/>
          <w:jc w:val="center"/>
        </w:trPr>
        <w:tc>
          <w:tcPr>
            <w:tcW w:w="4690" w:type="dxa"/>
            <w:tcBorders>
              <w:top w:val="nil"/>
              <w:left w:val="single" w:sz="8" w:space="0" w:color="auto"/>
              <w:bottom w:val="single" w:sz="8" w:space="0" w:color="auto"/>
              <w:right w:val="single" w:sz="8" w:space="0" w:color="auto"/>
            </w:tcBorders>
            <w:shd w:val="clear" w:color="auto" w:fill="auto"/>
            <w:vAlign w:val="bottom"/>
            <w:hideMark/>
          </w:tcPr>
          <w:p w:rsidR="006756EC" w:rsidRPr="001B2353" w:rsidRDefault="006756EC" w:rsidP="001B2353">
            <w:pPr>
              <w:rPr>
                <w:rFonts w:asciiTheme="minorHAnsi" w:hAnsiTheme="minorHAnsi" w:cs="Arial"/>
                <w:color w:val="000000"/>
                <w:sz w:val="22"/>
                <w:szCs w:val="22"/>
              </w:rPr>
            </w:pPr>
            <w:r w:rsidRPr="001B2353">
              <w:rPr>
                <w:rFonts w:asciiTheme="minorHAnsi" w:hAnsiTheme="minorHAnsi" w:cs="Arial"/>
                <w:color w:val="000000"/>
                <w:sz w:val="22"/>
                <w:szCs w:val="22"/>
              </w:rPr>
              <w:t>Podregion jeleniogórski</w:t>
            </w:r>
          </w:p>
        </w:tc>
        <w:tc>
          <w:tcPr>
            <w:tcW w:w="1300" w:type="dxa"/>
            <w:tcBorders>
              <w:top w:val="nil"/>
              <w:left w:val="nil"/>
              <w:bottom w:val="single" w:sz="8" w:space="0" w:color="auto"/>
              <w:right w:val="single" w:sz="8" w:space="0" w:color="auto"/>
            </w:tcBorders>
            <w:shd w:val="clear" w:color="auto" w:fill="auto"/>
            <w:vAlign w:val="center"/>
            <w:hideMark/>
          </w:tcPr>
          <w:p w:rsidR="006756EC" w:rsidRPr="001B2353" w:rsidRDefault="006756EC" w:rsidP="001B2353">
            <w:pPr>
              <w:jc w:val="center"/>
              <w:rPr>
                <w:rFonts w:asciiTheme="minorHAnsi" w:hAnsiTheme="minorHAnsi" w:cs="Arial"/>
                <w:sz w:val="22"/>
                <w:szCs w:val="22"/>
              </w:rPr>
            </w:pPr>
            <w:r w:rsidRPr="001B2353">
              <w:rPr>
                <w:rFonts w:asciiTheme="minorHAnsi" w:hAnsiTheme="minorHAnsi" w:cs="Arial"/>
                <w:sz w:val="22"/>
                <w:szCs w:val="22"/>
              </w:rPr>
              <w:t>18,4</w:t>
            </w:r>
          </w:p>
        </w:tc>
        <w:tc>
          <w:tcPr>
            <w:tcW w:w="1280" w:type="dxa"/>
            <w:tcBorders>
              <w:top w:val="nil"/>
              <w:left w:val="nil"/>
              <w:bottom w:val="single" w:sz="8" w:space="0" w:color="auto"/>
              <w:right w:val="single" w:sz="8" w:space="0" w:color="auto"/>
            </w:tcBorders>
            <w:shd w:val="clear" w:color="auto" w:fill="auto"/>
            <w:vAlign w:val="center"/>
            <w:hideMark/>
          </w:tcPr>
          <w:p w:rsidR="006756EC" w:rsidRPr="001B2353" w:rsidRDefault="006756EC" w:rsidP="001B2353">
            <w:pPr>
              <w:jc w:val="center"/>
              <w:rPr>
                <w:rFonts w:asciiTheme="minorHAnsi" w:hAnsiTheme="minorHAnsi" w:cs="Arial"/>
                <w:sz w:val="22"/>
                <w:szCs w:val="22"/>
              </w:rPr>
            </w:pPr>
            <w:r w:rsidRPr="001B2353">
              <w:rPr>
                <w:rFonts w:asciiTheme="minorHAnsi" w:hAnsiTheme="minorHAnsi" w:cs="Arial"/>
                <w:sz w:val="22"/>
                <w:szCs w:val="22"/>
              </w:rPr>
              <w:t>17,3</w:t>
            </w:r>
          </w:p>
        </w:tc>
        <w:tc>
          <w:tcPr>
            <w:tcW w:w="1480" w:type="dxa"/>
            <w:tcBorders>
              <w:top w:val="nil"/>
              <w:left w:val="nil"/>
              <w:bottom w:val="single" w:sz="8" w:space="0" w:color="auto"/>
              <w:right w:val="single" w:sz="8" w:space="0" w:color="auto"/>
            </w:tcBorders>
            <w:shd w:val="clear" w:color="000000" w:fill="FFFF00"/>
            <w:vAlign w:val="center"/>
            <w:hideMark/>
          </w:tcPr>
          <w:p w:rsidR="006756EC" w:rsidRPr="001B2353" w:rsidRDefault="006756EC" w:rsidP="001B2353">
            <w:pPr>
              <w:jc w:val="center"/>
              <w:rPr>
                <w:rFonts w:asciiTheme="minorHAnsi" w:hAnsiTheme="minorHAnsi" w:cs="Arial"/>
                <w:b/>
                <w:bCs/>
                <w:sz w:val="22"/>
                <w:szCs w:val="22"/>
              </w:rPr>
            </w:pPr>
            <w:r w:rsidRPr="001B2353">
              <w:rPr>
                <w:rFonts w:asciiTheme="minorHAnsi" w:hAnsiTheme="minorHAnsi" w:cs="Arial"/>
                <w:b/>
                <w:bCs/>
                <w:sz w:val="22"/>
                <w:szCs w:val="22"/>
              </w:rPr>
              <w:t>17,7</w:t>
            </w:r>
          </w:p>
        </w:tc>
      </w:tr>
      <w:tr w:rsidR="006756EC" w:rsidRPr="001B2353" w:rsidTr="00D12284">
        <w:trPr>
          <w:trHeight w:val="227"/>
          <w:jc w:val="center"/>
        </w:trPr>
        <w:tc>
          <w:tcPr>
            <w:tcW w:w="4690" w:type="dxa"/>
            <w:tcBorders>
              <w:top w:val="nil"/>
              <w:left w:val="single" w:sz="8" w:space="0" w:color="auto"/>
              <w:bottom w:val="single" w:sz="8" w:space="0" w:color="auto"/>
              <w:right w:val="single" w:sz="8" w:space="0" w:color="auto"/>
            </w:tcBorders>
            <w:shd w:val="clear" w:color="auto" w:fill="auto"/>
            <w:vAlign w:val="bottom"/>
            <w:hideMark/>
          </w:tcPr>
          <w:p w:rsidR="006756EC" w:rsidRPr="001B2353" w:rsidRDefault="006756EC" w:rsidP="001B2353">
            <w:pPr>
              <w:rPr>
                <w:rFonts w:asciiTheme="minorHAnsi" w:hAnsiTheme="minorHAnsi" w:cs="Arial"/>
                <w:color w:val="000000"/>
                <w:sz w:val="22"/>
                <w:szCs w:val="22"/>
              </w:rPr>
            </w:pPr>
            <w:r w:rsidRPr="001B2353">
              <w:rPr>
                <w:rFonts w:asciiTheme="minorHAnsi" w:hAnsiTheme="minorHAnsi" w:cs="Arial"/>
                <w:color w:val="000000"/>
                <w:sz w:val="22"/>
                <w:szCs w:val="22"/>
              </w:rPr>
              <w:t>Podregion legnicko-głogowski</w:t>
            </w:r>
          </w:p>
        </w:tc>
        <w:tc>
          <w:tcPr>
            <w:tcW w:w="1300" w:type="dxa"/>
            <w:tcBorders>
              <w:top w:val="nil"/>
              <w:left w:val="nil"/>
              <w:bottom w:val="single" w:sz="8" w:space="0" w:color="auto"/>
              <w:right w:val="single" w:sz="8" w:space="0" w:color="auto"/>
            </w:tcBorders>
            <w:shd w:val="clear" w:color="auto" w:fill="auto"/>
            <w:vAlign w:val="center"/>
            <w:hideMark/>
          </w:tcPr>
          <w:p w:rsidR="006756EC" w:rsidRPr="001B2353" w:rsidRDefault="006756EC" w:rsidP="001B2353">
            <w:pPr>
              <w:jc w:val="center"/>
              <w:rPr>
                <w:rFonts w:asciiTheme="minorHAnsi" w:hAnsiTheme="minorHAnsi" w:cs="Arial"/>
                <w:sz w:val="22"/>
                <w:szCs w:val="22"/>
              </w:rPr>
            </w:pPr>
            <w:r w:rsidRPr="001B2353">
              <w:rPr>
                <w:rFonts w:asciiTheme="minorHAnsi" w:hAnsiTheme="minorHAnsi" w:cs="Arial"/>
                <w:sz w:val="22"/>
                <w:szCs w:val="22"/>
              </w:rPr>
              <w:t>13,3</w:t>
            </w:r>
          </w:p>
        </w:tc>
        <w:tc>
          <w:tcPr>
            <w:tcW w:w="1280" w:type="dxa"/>
            <w:tcBorders>
              <w:top w:val="nil"/>
              <w:left w:val="nil"/>
              <w:bottom w:val="single" w:sz="8" w:space="0" w:color="auto"/>
              <w:right w:val="single" w:sz="8" w:space="0" w:color="auto"/>
            </w:tcBorders>
            <w:shd w:val="clear" w:color="auto" w:fill="auto"/>
            <w:vAlign w:val="center"/>
            <w:hideMark/>
          </w:tcPr>
          <w:p w:rsidR="006756EC" w:rsidRPr="001B2353" w:rsidRDefault="006756EC" w:rsidP="001B2353">
            <w:pPr>
              <w:jc w:val="center"/>
              <w:rPr>
                <w:rFonts w:asciiTheme="minorHAnsi" w:hAnsiTheme="minorHAnsi" w:cs="Arial"/>
                <w:sz w:val="22"/>
                <w:szCs w:val="22"/>
              </w:rPr>
            </w:pPr>
            <w:r w:rsidRPr="001B2353">
              <w:rPr>
                <w:rFonts w:asciiTheme="minorHAnsi" w:hAnsiTheme="minorHAnsi" w:cs="Arial"/>
                <w:sz w:val="22"/>
                <w:szCs w:val="22"/>
              </w:rPr>
              <w:t>13,0</w:t>
            </w:r>
          </w:p>
        </w:tc>
        <w:tc>
          <w:tcPr>
            <w:tcW w:w="1480" w:type="dxa"/>
            <w:tcBorders>
              <w:top w:val="nil"/>
              <w:left w:val="nil"/>
              <w:bottom w:val="single" w:sz="8" w:space="0" w:color="auto"/>
              <w:right w:val="single" w:sz="8" w:space="0" w:color="auto"/>
            </w:tcBorders>
            <w:shd w:val="clear" w:color="000000" w:fill="FFFF00"/>
            <w:vAlign w:val="center"/>
            <w:hideMark/>
          </w:tcPr>
          <w:p w:rsidR="006756EC" w:rsidRPr="001B2353" w:rsidRDefault="006756EC" w:rsidP="001B2353">
            <w:pPr>
              <w:jc w:val="center"/>
              <w:rPr>
                <w:rFonts w:asciiTheme="minorHAnsi" w:hAnsiTheme="minorHAnsi" w:cs="Arial"/>
                <w:b/>
                <w:bCs/>
                <w:sz w:val="22"/>
                <w:szCs w:val="22"/>
              </w:rPr>
            </w:pPr>
            <w:r w:rsidRPr="001B2353">
              <w:rPr>
                <w:rFonts w:asciiTheme="minorHAnsi" w:hAnsiTheme="minorHAnsi" w:cs="Arial"/>
                <w:b/>
                <w:bCs/>
                <w:sz w:val="22"/>
                <w:szCs w:val="22"/>
              </w:rPr>
              <w:t>13,1</w:t>
            </w:r>
          </w:p>
        </w:tc>
      </w:tr>
      <w:tr w:rsidR="006756EC" w:rsidRPr="001B2353" w:rsidTr="00D12284">
        <w:trPr>
          <w:trHeight w:val="227"/>
          <w:jc w:val="center"/>
        </w:trPr>
        <w:tc>
          <w:tcPr>
            <w:tcW w:w="4690" w:type="dxa"/>
            <w:tcBorders>
              <w:top w:val="nil"/>
              <w:left w:val="single" w:sz="8" w:space="0" w:color="auto"/>
              <w:bottom w:val="single" w:sz="8" w:space="0" w:color="auto"/>
              <w:right w:val="single" w:sz="8" w:space="0" w:color="auto"/>
            </w:tcBorders>
            <w:shd w:val="clear" w:color="auto" w:fill="auto"/>
            <w:vAlign w:val="bottom"/>
            <w:hideMark/>
          </w:tcPr>
          <w:p w:rsidR="006756EC" w:rsidRPr="001B2353" w:rsidRDefault="006756EC" w:rsidP="001B2353">
            <w:pPr>
              <w:rPr>
                <w:rFonts w:asciiTheme="minorHAnsi" w:hAnsiTheme="minorHAnsi" w:cs="Arial"/>
                <w:color w:val="000000"/>
                <w:sz w:val="22"/>
                <w:szCs w:val="22"/>
              </w:rPr>
            </w:pPr>
            <w:r w:rsidRPr="001B2353">
              <w:rPr>
                <w:rFonts w:asciiTheme="minorHAnsi" w:hAnsiTheme="minorHAnsi" w:cs="Arial"/>
                <w:color w:val="000000"/>
                <w:sz w:val="22"/>
                <w:szCs w:val="22"/>
              </w:rPr>
              <w:t>Podregion wałbrzyski</w:t>
            </w:r>
          </w:p>
        </w:tc>
        <w:tc>
          <w:tcPr>
            <w:tcW w:w="1300" w:type="dxa"/>
            <w:tcBorders>
              <w:top w:val="nil"/>
              <w:left w:val="nil"/>
              <w:bottom w:val="single" w:sz="8" w:space="0" w:color="auto"/>
              <w:right w:val="single" w:sz="8" w:space="0" w:color="auto"/>
            </w:tcBorders>
            <w:shd w:val="clear" w:color="auto" w:fill="auto"/>
            <w:vAlign w:val="center"/>
            <w:hideMark/>
          </w:tcPr>
          <w:p w:rsidR="006756EC" w:rsidRPr="001B2353" w:rsidRDefault="006756EC" w:rsidP="001B2353">
            <w:pPr>
              <w:jc w:val="center"/>
              <w:rPr>
                <w:rFonts w:asciiTheme="minorHAnsi" w:hAnsiTheme="minorHAnsi" w:cs="Arial"/>
                <w:sz w:val="22"/>
                <w:szCs w:val="22"/>
              </w:rPr>
            </w:pPr>
            <w:r w:rsidRPr="001B2353">
              <w:rPr>
                <w:rFonts w:asciiTheme="minorHAnsi" w:hAnsiTheme="minorHAnsi" w:cs="Arial"/>
                <w:sz w:val="22"/>
                <w:szCs w:val="22"/>
              </w:rPr>
              <w:t>21,1</w:t>
            </w:r>
          </w:p>
        </w:tc>
        <w:tc>
          <w:tcPr>
            <w:tcW w:w="1280" w:type="dxa"/>
            <w:tcBorders>
              <w:top w:val="nil"/>
              <w:left w:val="nil"/>
              <w:bottom w:val="single" w:sz="8" w:space="0" w:color="auto"/>
              <w:right w:val="single" w:sz="8" w:space="0" w:color="auto"/>
            </w:tcBorders>
            <w:shd w:val="clear" w:color="auto" w:fill="auto"/>
            <w:vAlign w:val="center"/>
            <w:hideMark/>
          </w:tcPr>
          <w:p w:rsidR="006756EC" w:rsidRPr="001B2353" w:rsidRDefault="006756EC" w:rsidP="001B2353">
            <w:pPr>
              <w:jc w:val="center"/>
              <w:rPr>
                <w:rFonts w:asciiTheme="minorHAnsi" w:hAnsiTheme="minorHAnsi" w:cs="Arial"/>
                <w:sz w:val="22"/>
                <w:szCs w:val="22"/>
              </w:rPr>
            </w:pPr>
            <w:r w:rsidRPr="001B2353">
              <w:rPr>
                <w:rFonts w:asciiTheme="minorHAnsi" w:hAnsiTheme="minorHAnsi" w:cs="Arial"/>
                <w:sz w:val="22"/>
                <w:szCs w:val="22"/>
              </w:rPr>
              <w:t>20,1</w:t>
            </w:r>
          </w:p>
        </w:tc>
        <w:tc>
          <w:tcPr>
            <w:tcW w:w="1480" w:type="dxa"/>
            <w:tcBorders>
              <w:top w:val="nil"/>
              <w:left w:val="nil"/>
              <w:bottom w:val="single" w:sz="8" w:space="0" w:color="auto"/>
              <w:right w:val="single" w:sz="8" w:space="0" w:color="auto"/>
            </w:tcBorders>
            <w:shd w:val="clear" w:color="000000" w:fill="FFFF00"/>
            <w:vAlign w:val="center"/>
            <w:hideMark/>
          </w:tcPr>
          <w:p w:rsidR="006756EC" w:rsidRPr="001B2353" w:rsidRDefault="006756EC" w:rsidP="001B2353">
            <w:pPr>
              <w:jc w:val="center"/>
              <w:rPr>
                <w:rFonts w:asciiTheme="minorHAnsi" w:hAnsiTheme="minorHAnsi" w:cs="Arial"/>
                <w:b/>
                <w:bCs/>
                <w:sz w:val="22"/>
                <w:szCs w:val="22"/>
              </w:rPr>
            </w:pPr>
            <w:r w:rsidRPr="001B2353">
              <w:rPr>
                <w:rFonts w:asciiTheme="minorHAnsi" w:hAnsiTheme="minorHAnsi" w:cs="Arial"/>
                <w:b/>
                <w:bCs/>
                <w:sz w:val="22"/>
                <w:szCs w:val="22"/>
              </w:rPr>
              <w:t>20,5</w:t>
            </w:r>
          </w:p>
        </w:tc>
      </w:tr>
      <w:tr w:rsidR="006756EC" w:rsidRPr="001B2353" w:rsidTr="00D12284">
        <w:trPr>
          <w:trHeight w:val="227"/>
          <w:jc w:val="center"/>
        </w:trPr>
        <w:tc>
          <w:tcPr>
            <w:tcW w:w="4690" w:type="dxa"/>
            <w:tcBorders>
              <w:top w:val="nil"/>
              <w:left w:val="single" w:sz="8" w:space="0" w:color="auto"/>
              <w:bottom w:val="single" w:sz="8" w:space="0" w:color="auto"/>
              <w:right w:val="single" w:sz="8" w:space="0" w:color="auto"/>
            </w:tcBorders>
            <w:shd w:val="clear" w:color="auto" w:fill="auto"/>
            <w:vAlign w:val="bottom"/>
            <w:hideMark/>
          </w:tcPr>
          <w:p w:rsidR="006756EC" w:rsidRPr="001B2353" w:rsidRDefault="006756EC" w:rsidP="001B2353">
            <w:pPr>
              <w:rPr>
                <w:rFonts w:asciiTheme="minorHAnsi" w:hAnsiTheme="minorHAnsi" w:cs="Arial"/>
                <w:color w:val="000000"/>
                <w:sz w:val="22"/>
                <w:szCs w:val="22"/>
              </w:rPr>
            </w:pPr>
            <w:r w:rsidRPr="001B2353">
              <w:rPr>
                <w:rFonts w:asciiTheme="minorHAnsi" w:hAnsiTheme="minorHAnsi" w:cs="Arial"/>
                <w:color w:val="000000"/>
                <w:sz w:val="22"/>
                <w:szCs w:val="22"/>
              </w:rPr>
              <w:t>Podregion wrocławski</w:t>
            </w:r>
          </w:p>
        </w:tc>
        <w:tc>
          <w:tcPr>
            <w:tcW w:w="1300" w:type="dxa"/>
            <w:tcBorders>
              <w:top w:val="nil"/>
              <w:left w:val="nil"/>
              <w:bottom w:val="single" w:sz="8" w:space="0" w:color="auto"/>
              <w:right w:val="single" w:sz="8" w:space="0" w:color="auto"/>
            </w:tcBorders>
            <w:shd w:val="clear" w:color="auto" w:fill="auto"/>
            <w:vAlign w:val="center"/>
            <w:hideMark/>
          </w:tcPr>
          <w:p w:rsidR="006756EC" w:rsidRPr="001B2353" w:rsidRDefault="006756EC" w:rsidP="001B2353">
            <w:pPr>
              <w:jc w:val="center"/>
              <w:rPr>
                <w:rFonts w:asciiTheme="minorHAnsi" w:hAnsiTheme="minorHAnsi" w:cs="Arial"/>
                <w:sz w:val="22"/>
                <w:szCs w:val="22"/>
              </w:rPr>
            </w:pPr>
            <w:r w:rsidRPr="001B2353">
              <w:rPr>
                <w:rFonts w:asciiTheme="minorHAnsi" w:hAnsiTheme="minorHAnsi" w:cs="Arial"/>
                <w:sz w:val="22"/>
                <w:szCs w:val="22"/>
              </w:rPr>
              <w:t>13,1</w:t>
            </w:r>
          </w:p>
        </w:tc>
        <w:tc>
          <w:tcPr>
            <w:tcW w:w="1280" w:type="dxa"/>
            <w:tcBorders>
              <w:top w:val="nil"/>
              <w:left w:val="nil"/>
              <w:bottom w:val="single" w:sz="8" w:space="0" w:color="auto"/>
              <w:right w:val="single" w:sz="8" w:space="0" w:color="auto"/>
            </w:tcBorders>
            <w:shd w:val="clear" w:color="auto" w:fill="auto"/>
            <w:vAlign w:val="center"/>
            <w:hideMark/>
          </w:tcPr>
          <w:p w:rsidR="006756EC" w:rsidRPr="001B2353" w:rsidRDefault="006756EC" w:rsidP="001B2353">
            <w:pPr>
              <w:jc w:val="center"/>
              <w:rPr>
                <w:rFonts w:asciiTheme="minorHAnsi" w:hAnsiTheme="minorHAnsi" w:cs="Arial"/>
                <w:sz w:val="22"/>
                <w:szCs w:val="22"/>
              </w:rPr>
            </w:pPr>
            <w:r w:rsidRPr="001B2353">
              <w:rPr>
                <w:rFonts w:asciiTheme="minorHAnsi" w:hAnsiTheme="minorHAnsi" w:cs="Arial"/>
                <w:sz w:val="22"/>
                <w:szCs w:val="22"/>
              </w:rPr>
              <w:t>12,9</w:t>
            </w:r>
          </w:p>
        </w:tc>
        <w:tc>
          <w:tcPr>
            <w:tcW w:w="1480" w:type="dxa"/>
            <w:tcBorders>
              <w:top w:val="nil"/>
              <w:left w:val="nil"/>
              <w:bottom w:val="single" w:sz="8" w:space="0" w:color="auto"/>
              <w:right w:val="single" w:sz="8" w:space="0" w:color="auto"/>
            </w:tcBorders>
            <w:shd w:val="clear" w:color="000000" w:fill="FFFF00"/>
            <w:vAlign w:val="center"/>
            <w:hideMark/>
          </w:tcPr>
          <w:p w:rsidR="006756EC" w:rsidRPr="001B2353" w:rsidRDefault="006756EC" w:rsidP="001B2353">
            <w:pPr>
              <w:jc w:val="center"/>
              <w:rPr>
                <w:rFonts w:asciiTheme="minorHAnsi" w:hAnsiTheme="minorHAnsi" w:cs="Arial"/>
                <w:b/>
                <w:bCs/>
                <w:sz w:val="22"/>
                <w:szCs w:val="22"/>
              </w:rPr>
            </w:pPr>
            <w:r w:rsidRPr="001B2353">
              <w:rPr>
                <w:rFonts w:asciiTheme="minorHAnsi" w:hAnsiTheme="minorHAnsi" w:cs="Arial"/>
                <w:b/>
                <w:bCs/>
                <w:sz w:val="22"/>
                <w:szCs w:val="22"/>
              </w:rPr>
              <w:t>13,1</w:t>
            </w:r>
          </w:p>
        </w:tc>
      </w:tr>
      <w:tr w:rsidR="006756EC" w:rsidRPr="001B2353" w:rsidTr="00D12284">
        <w:trPr>
          <w:trHeight w:val="227"/>
          <w:jc w:val="center"/>
        </w:trPr>
        <w:tc>
          <w:tcPr>
            <w:tcW w:w="4690" w:type="dxa"/>
            <w:tcBorders>
              <w:top w:val="nil"/>
              <w:left w:val="single" w:sz="8" w:space="0" w:color="auto"/>
              <w:bottom w:val="single" w:sz="8" w:space="0" w:color="auto"/>
              <w:right w:val="single" w:sz="8" w:space="0" w:color="auto"/>
            </w:tcBorders>
            <w:shd w:val="clear" w:color="auto" w:fill="auto"/>
            <w:vAlign w:val="bottom"/>
            <w:hideMark/>
          </w:tcPr>
          <w:p w:rsidR="006756EC" w:rsidRPr="001B2353" w:rsidRDefault="006756EC" w:rsidP="001B2353">
            <w:pPr>
              <w:rPr>
                <w:rFonts w:asciiTheme="minorHAnsi" w:hAnsiTheme="minorHAnsi" w:cs="Arial"/>
                <w:color w:val="000000"/>
                <w:sz w:val="22"/>
                <w:szCs w:val="22"/>
              </w:rPr>
            </w:pPr>
            <w:r w:rsidRPr="001B2353">
              <w:rPr>
                <w:rFonts w:asciiTheme="minorHAnsi" w:hAnsiTheme="minorHAnsi" w:cs="Arial"/>
                <w:color w:val="000000"/>
                <w:sz w:val="22"/>
                <w:szCs w:val="22"/>
              </w:rPr>
              <w:t>Podregion m. Wrocław</w:t>
            </w:r>
          </w:p>
        </w:tc>
        <w:tc>
          <w:tcPr>
            <w:tcW w:w="1300" w:type="dxa"/>
            <w:tcBorders>
              <w:top w:val="nil"/>
              <w:left w:val="nil"/>
              <w:bottom w:val="single" w:sz="8" w:space="0" w:color="auto"/>
              <w:right w:val="single" w:sz="8" w:space="0" w:color="auto"/>
            </w:tcBorders>
            <w:shd w:val="clear" w:color="auto" w:fill="auto"/>
            <w:vAlign w:val="center"/>
            <w:hideMark/>
          </w:tcPr>
          <w:p w:rsidR="006756EC" w:rsidRPr="001B2353" w:rsidRDefault="006756EC" w:rsidP="001B2353">
            <w:pPr>
              <w:jc w:val="center"/>
              <w:rPr>
                <w:rFonts w:asciiTheme="minorHAnsi" w:hAnsiTheme="minorHAnsi" w:cs="Arial"/>
                <w:sz w:val="22"/>
                <w:szCs w:val="22"/>
              </w:rPr>
            </w:pPr>
            <w:r w:rsidRPr="001B2353">
              <w:rPr>
                <w:rFonts w:asciiTheme="minorHAnsi" w:hAnsiTheme="minorHAnsi" w:cs="Arial"/>
                <w:sz w:val="22"/>
                <w:szCs w:val="22"/>
              </w:rPr>
              <w:t>5,7</w:t>
            </w:r>
          </w:p>
        </w:tc>
        <w:tc>
          <w:tcPr>
            <w:tcW w:w="1280" w:type="dxa"/>
            <w:tcBorders>
              <w:top w:val="nil"/>
              <w:left w:val="nil"/>
              <w:bottom w:val="single" w:sz="8" w:space="0" w:color="auto"/>
              <w:right w:val="single" w:sz="8" w:space="0" w:color="auto"/>
            </w:tcBorders>
            <w:shd w:val="clear" w:color="auto" w:fill="auto"/>
            <w:vAlign w:val="center"/>
            <w:hideMark/>
          </w:tcPr>
          <w:p w:rsidR="006756EC" w:rsidRPr="001B2353" w:rsidRDefault="006756EC" w:rsidP="001B2353">
            <w:pPr>
              <w:jc w:val="center"/>
              <w:rPr>
                <w:rFonts w:asciiTheme="minorHAnsi" w:hAnsiTheme="minorHAnsi" w:cs="Arial"/>
                <w:sz w:val="22"/>
                <w:szCs w:val="22"/>
              </w:rPr>
            </w:pPr>
            <w:r w:rsidRPr="001B2353">
              <w:rPr>
                <w:rFonts w:asciiTheme="minorHAnsi" w:hAnsiTheme="minorHAnsi" w:cs="Arial"/>
                <w:sz w:val="22"/>
                <w:szCs w:val="22"/>
              </w:rPr>
              <w:t>5,7</w:t>
            </w:r>
          </w:p>
        </w:tc>
        <w:tc>
          <w:tcPr>
            <w:tcW w:w="1480" w:type="dxa"/>
            <w:tcBorders>
              <w:top w:val="nil"/>
              <w:left w:val="nil"/>
              <w:bottom w:val="single" w:sz="8" w:space="0" w:color="auto"/>
              <w:right w:val="single" w:sz="8" w:space="0" w:color="auto"/>
            </w:tcBorders>
            <w:shd w:val="clear" w:color="000000" w:fill="FFFF00"/>
            <w:vAlign w:val="center"/>
            <w:hideMark/>
          </w:tcPr>
          <w:p w:rsidR="006756EC" w:rsidRPr="001B2353" w:rsidRDefault="006756EC" w:rsidP="001B2353">
            <w:pPr>
              <w:jc w:val="center"/>
              <w:rPr>
                <w:rFonts w:asciiTheme="minorHAnsi" w:hAnsiTheme="minorHAnsi" w:cs="Arial"/>
                <w:b/>
                <w:bCs/>
                <w:sz w:val="22"/>
                <w:szCs w:val="22"/>
              </w:rPr>
            </w:pPr>
            <w:r w:rsidRPr="001B2353">
              <w:rPr>
                <w:rFonts w:asciiTheme="minorHAnsi" w:hAnsiTheme="minorHAnsi" w:cs="Arial"/>
                <w:b/>
                <w:bCs/>
                <w:sz w:val="22"/>
                <w:szCs w:val="22"/>
              </w:rPr>
              <w:t>5,6</w:t>
            </w:r>
          </w:p>
        </w:tc>
      </w:tr>
    </w:tbl>
    <w:p w:rsidR="00E86550" w:rsidRPr="001B2353" w:rsidRDefault="00E86550" w:rsidP="00E86550">
      <w:pPr>
        <w:spacing w:line="360" w:lineRule="auto"/>
        <w:jc w:val="both"/>
        <w:rPr>
          <w:rFonts w:asciiTheme="minorHAnsi" w:hAnsiTheme="minorHAnsi" w:cs="Arial"/>
          <w:b/>
          <w:sz w:val="22"/>
          <w:szCs w:val="22"/>
        </w:rPr>
      </w:pPr>
    </w:p>
    <w:p w:rsidR="0033347B" w:rsidRPr="001B2353" w:rsidRDefault="005537E6" w:rsidP="00E86550">
      <w:pPr>
        <w:spacing w:line="360" w:lineRule="auto"/>
        <w:jc w:val="both"/>
        <w:rPr>
          <w:rFonts w:asciiTheme="minorHAnsi" w:hAnsiTheme="minorHAnsi" w:cs="Arial"/>
          <w:b/>
          <w:sz w:val="22"/>
          <w:szCs w:val="22"/>
        </w:rPr>
      </w:pPr>
      <w:r w:rsidRPr="001B2353">
        <w:rPr>
          <w:rFonts w:asciiTheme="minorHAnsi" w:hAnsiTheme="minorHAnsi" w:cs="Arial"/>
          <w:b/>
          <w:sz w:val="22"/>
          <w:szCs w:val="22"/>
        </w:rPr>
        <w:t>Aktywizacja zawodowa</w:t>
      </w:r>
      <w:r w:rsidR="00BC4E70" w:rsidRPr="001B2353">
        <w:rPr>
          <w:rFonts w:asciiTheme="minorHAnsi" w:hAnsiTheme="minorHAnsi" w:cs="Arial"/>
          <w:b/>
          <w:sz w:val="22"/>
          <w:szCs w:val="22"/>
        </w:rPr>
        <w:t xml:space="preserve"> bezrobotnych</w:t>
      </w:r>
    </w:p>
    <w:p w:rsidR="00654793" w:rsidRPr="001B2353" w:rsidRDefault="0022301E" w:rsidP="00654793">
      <w:pPr>
        <w:spacing w:line="360" w:lineRule="auto"/>
        <w:ind w:firstLine="348"/>
        <w:jc w:val="both"/>
        <w:rPr>
          <w:rFonts w:asciiTheme="minorHAnsi" w:hAnsiTheme="minorHAnsi" w:cs="Arial"/>
          <w:sz w:val="22"/>
          <w:szCs w:val="22"/>
        </w:rPr>
      </w:pPr>
      <w:r w:rsidRPr="001B2353">
        <w:rPr>
          <w:rFonts w:asciiTheme="minorHAnsi" w:hAnsiTheme="minorHAnsi" w:cs="Arial"/>
          <w:sz w:val="22"/>
          <w:szCs w:val="22"/>
        </w:rPr>
        <w:tab/>
      </w:r>
      <w:r w:rsidR="00654793" w:rsidRPr="001B2353">
        <w:rPr>
          <w:rFonts w:asciiTheme="minorHAnsi" w:hAnsiTheme="minorHAnsi" w:cs="Arial"/>
          <w:sz w:val="22"/>
          <w:szCs w:val="22"/>
        </w:rPr>
        <w:t xml:space="preserve">Łącznie w okresie dwunastu miesięcy 2013 roku subsydiowaną aktywizacją zawodową objęto 33195 bezrobotnych </w:t>
      </w:r>
      <w:r w:rsidR="00654793" w:rsidRPr="001B2353">
        <w:rPr>
          <w:rFonts w:asciiTheme="minorHAnsi" w:hAnsiTheme="minorHAnsi" w:cs="Arial"/>
          <w:iCs/>
          <w:sz w:val="22"/>
          <w:szCs w:val="22"/>
        </w:rPr>
        <w:t>(30162 bezrobotnych w takim samym okresie</w:t>
      </w:r>
      <w:r w:rsidR="00654793" w:rsidRPr="001B2353">
        <w:rPr>
          <w:rFonts w:asciiTheme="minorHAnsi" w:hAnsiTheme="minorHAnsi" w:cs="Arial"/>
          <w:sz w:val="22"/>
          <w:szCs w:val="22"/>
        </w:rPr>
        <w:t xml:space="preserve"> w 2012 roku), w tym:</w:t>
      </w:r>
    </w:p>
    <w:p w:rsidR="00654793" w:rsidRPr="001B2353" w:rsidRDefault="00654793" w:rsidP="00654793">
      <w:pPr>
        <w:numPr>
          <w:ilvl w:val="0"/>
          <w:numId w:val="20"/>
        </w:numPr>
        <w:spacing w:line="360" w:lineRule="auto"/>
        <w:jc w:val="both"/>
        <w:rPr>
          <w:rFonts w:asciiTheme="minorHAnsi" w:hAnsiTheme="minorHAnsi" w:cs="Arial"/>
          <w:sz w:val="22"/>
          <w:szCs w:val="22"/>
        </w:rPr>
      </w:pPr>
      <w:r w:rsidRPr="001B2353">
        <w:rPr>
          <w:rFonts w:asciiTheme="minorHAnsi" w:hAnsiTheme="minorHAnsi" w:cs="Arial"/>
          <w:sz w:val="22"/>
          <w:szCs w:val="22"/>
        </w:rPr>
        <w:t>młodzież do 25 roku życia w liczbie 9936 osób stanowiła 29,9% ogółu bezrobotnych objętych subsydiowaną aktywizacją w okresie dwunastu miesięcy 2013 roku; w takim samym okresie w roku 2012 programami rynku pracy objęto 9351 osób do 25 roku życia, tj. 31,0% ogółu bezrobotnych objętych subsydiowanymi programami rynku pracy;</w:t>
      </w:r>
    </w:p>
    <w:p w:rsidR="00654793" w:rsidRPr="001B2353" w:rsidRDefault="00654793" w:rsidP="00654793">
      <w:pPr>
        <w:numPr>
          <w:ilvl w:val="0"/>
          <w:numId w:val="20"/>
        </w:numPr>
        <w:spacing w:line="360" w:lineRule="auto"/>
        <w:jc w:val="both"/>
        <w:rPr>
          <w:rFonts w:asciiTheme="minorHAnsi" w:hAnsiTheme="minorHAnsi" w:cs="Arial"/>
          <w:sz w:val="22"/>
          <w:szCs w:val="22"/>
        </w:rPr>
      </w:pPr>
      <w:r w:rsidRPr="001B2353">
        <w:rPr>
          <w:rFonts w:asciiTheme="minorHAnsi" w:hAnsiTheme="minorHAnsi" w:cs="Arial"/>
          <w:sz w:val="22"/>
          <w:szCs w:val="22"/>
        </w:rPr>
        <w:t>bezrobotni powyżej 50 roku życia (8010 osób) stanowili w okresie dwunastu miesięcy 2013 roku 24,1% ogólnej liczby bezrobotnych objętych subsydiowanymi programami rynku pracy (7082 osoby, tj. 23,5% w analogicznym okresie w 2012 roku);</w:t>
      </w:r>
    </w:p>
    <w:p w:rsidR="00654793" w:rsidRPr="001B2353" w:rsidRDefault="00654793" w:rsidP="00654793">
      <w:pPr>
        <w:numPr>
          <w:ilvl w:val="0"/>
          <w:numId w:val="20"/>
        </w:numPr>
        <w:spacing w:line="360" w:lineRule="auto"/>
        <w:jc w:val="both"/>
        <w:rPr>
          <w:rFonts w:asciiTheme="minorHAnsi" w:hAnsiTheme="minorHAnsi" w:cs="Arial"/>
          <w:sz w:val="22"/>
          <w:szCs w:val="22"/>
        </w:rPr>
      </w:pPr>
      <w:r w:rsidRPr="001B2353">
        <w:rPr>
          <w:rFonts w:asciiTheme="minorHAnsi" w:hAnsiTheme="minorHAnsi" w:cs="Arial"/>
          <w:sz w:val="22"/>
          <w:szCs w:val="22"/>
        </w:rPr>
        <w:t>długotrwale bezrobotni (14425 osób) stanowili w okresie dwunastu miesięcy 2013 roku 43,5% ogólnej liczby bezrobotnych objętych subsydiowanymi programami rynku pracy (12987 osób, tj. 43,1% w analogicznym okresie w 2012 roku);</w:t>
      </w:r>
    </w:p>
    <w:p w:rsidR="00654793" w:rsidRPr="001B2353" w:rsidRDefault="00654793" w:rsidP="00654793">
      <w:pPr>
        <w:numPr>
          <w:ilvl w:val="0"/>
          <w:numId w:val="20"/>
        </w:numPr>
        <w:spacing w:line="360" w:lineRule="auto"/>
        <w:jc w:val="both"/>
        <w:rPr>
          <w:rFonts w:asciiTheme="minorHAnsi" w:hAnsiTheme="minorHAnsi" w:cs="Arial"/>
          <w:sz w:val="22"/>
          <w:szCs w:val="22"/>
        </w:rPr>
      </w:pPr>
      <w:r w:rsidRPr="001B2353">
        <w:rPr>
          <w:rFonts w:asciiTheme="minorHAnsi" w:hAnsiTheme="minorHAnsi" w:cs="Arial"/>
          <w:sz w:val="22"/>
          <w:szCs w:val="22"/>
        </w:rPr>
        <w:t>kobiety (17773 osoby) stanowiły 53,5% ogółu bezrobotnych objętych programami rynku pracy (16325 kobiet, tj. 54,1% w okresie styczeń – grudzień 2012 roku);</w:t>
      </w:r>
    </w:p>
    <w:p w:rsidR="00654793" w:rsidRPr="001B2353" w:rsidRDefault="00654793" w:rsidP="00654793">
      <w:pPr>
        <w:numPr>
          <w:ilvl w:val="0"/>
          <w:numId w:val="20"/>
        </w:numPr>
        <w:spacing w:line="360" w:lineRule="auto"/>
        <w:jc w:val="both"/>
        <w:rPr>
          <w:rFonts w:asciiTheme="minorHAnsi" w:hAnsiTheme="minorHAnsi" w:cs="Arial"/>
          <w:sz w:val="22"/>
          <w:szCs w:val="22"/>
        </w:rPr>
      </w:pPr>
      <w:r w:rsidRPr="001B2353">
        <w:rPr>
          <w:rFonts w:asciiTheme="minorHAnsi" w:hAnsiTheme="minorHAnsi" w:cs="Arial"/>
          <w:sz w:val="22"/>
          <w:szCs w:val="22"/>
        </w:rPr>
        <w:lastRenderedPageBreak/>
        <w:t>osoby zamieszkałe na wsi (11960 osób) stanowiły 36,0% ogółu bezrobotnych objętych programami rynku pracy (10721 osób, tj. 35,57% w okresie styczeń – grudzień 2012 roku).</w:t>
      </w:r>
    </w:p>
    <w:p w:rsidR="00BC4E70" w:rsidRPr="001B2353" w:rsidRDefault="00BC4E70" w:rsidP="00654793">
      <w:pPr>
        <w:spacing w:line="360" w:lineRule="auto"/>
        <w:ind w:firstLine="348"/>
        <w:jc w:val="both"/>
        <w:rPr>
          <w:rFonts w:asciiTheme="minorHAnsi" w:hAnsiTheme="minorHAnsi" w:cs="Arial"/>
          <w:sz w:val="22"/>
          <w:szCs w:val="22"/>
        </w:rPr>
      </w:pPr>
    </w:p>
    <w:p w:rsidR="005537E6" w:rsidRPr="001B2353" w:rsidRDefault="005537E6" w:rsidP="004B01EC">
      <w:pPr>
        <w:spacing w:line="276" w:lineRule="auto"/>
        <w:ind w:firstLine="348"/>
        <w:jc w:val="both"/>
        <w:rPr>
          <w:rFonts w:asciiTheme="minorHAnsi" w:hAnsiTheme="minorHAnsi" w:cs="Arial"/>
          <w:sz w:val="22"/>
          <w:szCs w:val="22"/>
        </w:rPr>
      </w:pPr>
      <w:r w:rsidRPr="001B2353">
        <w:rPr>
          <w:rFonts w:asciiTheme="minorHAnsi" w:hAnsiTheme="minorHAnsi" w:cs="Arial"/>
          <w:sz w:val="22"/>
          <w:szCs w:val="22"/>
        </w:rPr>
        <w:t>Udział poszczególnych form aktywizacji w prowadzonej w 201</w:t>
      </w:r>
      <w:r w:rsidR="00654793" w:rsidRPr="001B2353">
        <w:rPr>
          <w:rFonts w:asciiTheme="minorHAnsi" w:hAnsiTheme="minorHAnsi" w:cs="Arial"/>
          <w:sz w:val="22"/>
          <w:szCs w:val="22"/>
        </w:rPr>
        <w:t>3</w:t>
      </w:r>
      <w:r w:rsidRPr="001B2353">
        <w:rPr>
          <w:rFonts w:asciiTheme="minorHAnsi" w:hAnsiTheme="minorHAnsi" w:cs="Arial"/>
          <w:sz w:val="22"/>
          <w:szCs w:val="22"/>
        </w:rPr>
        <w:t xml:space="preserve"> r. aktywizacji zawodowej bezrobotnych. przedstawia się następująco:</w:t>
      </w:r>
    </w:p>
    <w:p w:rsidR="001B5049" w:rsidRPr="001B2353" w:rsidRDefault="001B5049" w:rsidP="008B0325">
      <w:pPr>
        <w:spacing w:line="276" w:lineRule="auto"/>
        <w:ind w:firstLine="348"/>
        <w:jc w:val="center"/>
        <w:rPr>
          <w:rFonts w:asciiTheme="minorHAnsi" w:hAnsiTheme="minorHAnsi" w:cs="Arial"/>
          <w:sz w:val="22"/>
          <w:szCs w:val="22"/>
        </w:rPr>
      </w:pPr>
    </w:p>
    <w:p w:rsidR="005537E6" w:rsidRPr="001B2353" w:rsidRDefault="00654793" w:rsidP="006563E4">
      <w:pPr>
        <w:spacing w:line="360" w:lineRule="auto"/>
        <w:ind w:firstLine="142"/>
        <w:jc w:val="center"/>
        <w:rPr>
          <w:rFonts w:asciiTheme="minorHAnsi" w:hAnsiTheme="minorHAnsi" w:cs="Arial"/>
          <w:sz w:val="22"/>
          <w:szCs w:val="22"/>
        </w:rPr>
      </w:pPr>
      <w:r w:rsidRPr="001B2353">
        <w:rPr>
          <w:rFonts w:asciiTheme="minorHAnsi" w:hAnsiTheme="minorHAnsi"/>
          <w:noProof/>
          <w:sz w:val="22"/>
          <w:szCs w:val="22"/>
        </w:rPr>
        <w:drawing>
          <wp:inline distT="0" distB="0" distL="0" distR="0" wp14:anchorId="006ED318" wp14:editId="36A4E8EE">
            <wp:extent cx="5854065" cy="3740727"/>
            <wp:effectExtent l="0" t="0" r="0" b="0"/>
            <wp:docPr id="4" name="Wykres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8B0325" w:rsidRPr="001B2353" w:rsidRDefault="0022301E" w:rsidP="004B01EC">
      <w:pPr>
        <w:spacing w:line="276" w:lineRule="auto"/>
        <w:ind w:firstLine="348"/>
        <w:jc w:val="both"/>
        <w:rPr>
          <w:rFonts w:asciiTheme="minorHAnsi" w:hAnsiTheme="minorHAnsi" w:cs="Arial"/>
          <w:sz w:val="22"/>
          <w:szCs w:val="22"/>
        </w:rPr>
      </w:pPr>
      <w:r w:rsidRPr="001B2353">
        <w:rPr>
          <w:rFonts w:asciiTheme="minorHAnsi" w:hAnsiTheme="minorHAnsi" w:cs="Arial"/>
          <w:sz w:val="22"/>
          <w:szCs w:val="22"/>
        </w:rPr>
        <w:tab/>
      </w:r>
    </w:p>
    <w:p w:rsidR="002F1151" w:rsidRPr="001B2353" w:rsidRDefault="002F1151" w:rsidP="004B01EC">
      <w:pPr>
        <w:spacing w:line="276" w:lineRule="auto"/>
        <w:ind w:firstLine="348"/>
        <w:jc w:val="both"/>
        <w:rPr>
          <w:rFonts w:asciiTheme="minorHAnsi" w:hAnsiTheme="minorHAnsi" w:cs="Arial"/>
          <w:sz w:val="22"/>
          <w:szCs w:val="22"/>
        </w:rPr>
      </w:pPr>
      <w:r w:rsidRPr="001B2353">
        <w:rPr>
          <w:rFonts w:asciiTheme="minorHAnsi" w:hAnsiTheme="minorHAnsi" w:cs="Arial"/>
          <w:sz w:val="22"/>
          <w:szCs w:val="22"/>
        </w:rPr>
        <w:t>Strukturę wydatków z Funduszu Pracy na aktywne formy przeciwdziałania bezrobociu w województwie dolnośląskim w okresie styczeń – grudzień 201</w:t>
      </w:r>
      <w:r w:rsidR="00654793" w:rsidRPr="001B2353">
        <w:rPr>
          <w:rFonts w:asciiTheme="minorHAnsi" w:hAnsiTheme="minorHAnsi" w:cs="Arial"/>
          <w:sz w:val="22"/>
          <w:szCs w:val="22"/>
        </w:rPr>
        <w:t>3</w:t>
      </w:r>
      <w:r w:rsidRPr="001B2353">
        <w:rPr>
          <w:rFonts w:asciiTheme="minorHAnsi" w:hAnsiTheme="minorHAnsi" w:cs="Arial"/>
          <w:sz w:val="22"/>
          <w:szCs w:val="22"/>
        </w:rPr>
        <w:t xml:space="preserve"> roku ilustruje poniższy wykres:</w:t>
      </w:r>
    </w:p>
    <w:p w:rsidR="008B0325" w:rsidRPr="001B2353" w:rsidRDefault="008B0325" w:rsidP="006563E4">
      <w:pPr>
        <w:spacing w:line="360" w:lineRule="auto"/>
        <w:ind w:firstLine="142"/>
        <w:jc w:val="center"/>
        <w:rPr>
          <w:rFonts w:asciiTheme="minorHAnsi" w:hAnsiTheme="minorHAnsi"/>
          <w:b/>
          <w:noProof/>
          <w:sz w:val="22"/>
          <w:szCs w:val="22"/>
          <w:highlight w:val="yellow"/>
        </w:rPr>
      </w:pPr>
      <w:r w:rsidRPr="001B2353">
        <w:rPr>
          <w:rFonts w:asciiTheme="minorHAnsi" w:hAnsiTheme="minorHAnsi"/>
          <w:noProof/>
          <w:sz w:val="22"/>
          <w:szCs w:val="22"/>
        </w:rPr>
        <w:drawing>
          <wp:inline distT="0" distB="0" distL="0" distR="0" wp14:anchorId="6F88C88D" wp14:editId="6D82C993">
            <wp:extent cx="5694219" cy="3512127"/>
            <wp:effectExtent l="0" t="0" r="1905" b="0"/>
            <wp:docPr id="6" name="Wykres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960826" w:rsidRPr="001B2353" w:rsidRDefault="0022301E" w:rsidP="004B01EC">
      <w:pPr>
        <w:spacing w:line="276" w:lineRule="auto"/>
        <w:ind w:firstLine="360"/>
        <w:jc w:val="both"/>
        <w:rPr>
          <w:rFonts w:asciiTheme="minorHAnsi" w:hAnsiTheme="minorHAnsi" w:cs="Arial"/>
          <w:sz w:val="22"/>
          <w:szCs w:val="22"/>
        </w:rPr>
      </w:pPr>
      <w:r w:rsidRPr="001B2353">
        <w:rPr>
          <w:rFonts w:asciiTheme="minorHAnsi" w:hAnsiTheme="minorHAnsi" w:cs="Arial"/>
          <w:sz w:val="22"/>
          <w:szCs w:val="22"/>
        </w:rPr>
        <w:lastRenderedPageBreak/>
        <w:tab/>
      </w:r>
      <w:r w:rsidR="00960826" w:rsidRPr="001B2353">
        <w:rPr>
          <w:rFonts w:asciiTheme="minorHAnsi" w:hAnsiTheme="minorHAnsi" w:cs="Arial"/>
          <w:sz w:val="22"/>
          <w:szCs w:val="22"/>
        </w:rPr>
        <w:t>Porównanie liczby bezrobotnych objętych subsydiowanymi programami rynku pracy w okresie ostatnich 12 miesięcy przedstawia poniższy wykres:</w:t>
      </w:r>
    </w:p>
    <w:p w:rsidR="00960826" w:rsidRPr="001B2353" w:rsidRDefault="00960826" w:rsidP="00357BFD">
      <w:pPr>
        <w:spacing w:line="360" w:lineRule="auto"/>
        <w:ind w:left="346" w:hanging="346"/>
        <w:jc w:val="center"/>
        <w:rPr>
          <w:rFonts w:asciiTheme="minorHAnsi" w:hAnsiTheme="minorHAnsi"/>
          <w:b/>
          <w:sz w:val="22"/>
          <w:szCs w:val="22"/>
          <w:highlight w:val="yellow"/>
        </w:rPr>
      </w:pPr>
    </w:p>
    <w:p w:rsidR="00960826" w:rsidRPr="001B2353" w:rsidRDefault="006563E4" w:rsidP="0022301E">
      <w:pPr>
        <w:spacing w:line="360" w:lineRule="auto"/>
        <w:jc w:val="center"/>
        <w:rPr>
          <w:rFonts w:asciiTheme="minorHAnsi" w:hAnsiTheme="minorHAnsi"/>
          <w:b/>
          <w:sz w:val="22"/>
          <w:szCs w:val="22"/>
          <w:highlight w:val="yellow"/>
        </w:rPr>
      </w:pPr>
      <w:r w:rsidRPr="001B2353">
        <w:rPr>
          <w:rFonts w:asciiTheme="minorHAnsi" w:hAnsiTheme="minorHAnsi"/>
          <w:noProof/>
          <w:sz w:val="22"/>
          <w:szCs w:val="22"/>
        </w:rPr>
        <w:drawing>
          <wp:inline distT="0" distB="0" distL="0" distR="0" wp14:anchorId="4D7BEC16" wp14:editId="261CE02F">
            <wp:extent cx="5866410" cy="3811980"/>
            <wp:effectExtent l="0" t="0" r="0" b="0"/>
            <wp:docPr id="7" name="Wykres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654793" w:rsidRPr="001B2353" w:rsidRDefault="00654793" w:rsidP="00357BFD">
      <w:pPr>
        <w:spacing w:line="360" w:lineRule="auto"/>
        <w:jc w:val="both"/>
        <w:rPr>
          <w:rFonts w:asciiTheme="minorHAnsi" w:hAnsiTheme="minorHAnsi"/>
          <w:b/>
          <w:sz w:val="22"/>
          <w:szCs w:val="22"/>
        </w:rPr>
      </w:pPr>
    </w:p>
    <w:p w:rsidR="006B5BE2" w:rsidRPr="001B2353" w:rsidRDefault="00881B96" w:rsidP="00357BFD">
      <w:pPr>
        <w:spacing w:line="360" w:lineRule="auto"/>
        <w:jc w:val="both"/>
        <w:rPr>
          <w:rFonts w:asciiTheme="minorHAnsi" w:hAnsiTheme="minorHAnsi"/>
          <w:b/>
          <w:sz w:val="22"/>
          <w:szCs w:val="22"/>
        </w:rPr>
      </w:pPr>
      <w:r w:rsidRPr="001B2353">
        <w:rPr>
          <w:rFonts w:asciiTheme="minorHAnsi" w:hAnsiTheme="minorHAnsi"/>
          <w:b/>
          <w:sz w:val="22"/>
          <w:szCs w:val="22"/>
        </w:rPr>
        <w:t>Prognoz</w:t>
      </w:r>
      <w:r w:rsidR="006563E4" w:rsidRPr="001B2353">
        <w:rPr>
          <w:rFonts w:asciiTheme="minorHAnsi" w:hAnsiTheme="minorHAnsi"/>
          <w:b/>
          <w:sz w:val="22"/>
          <w:szCs w:val="22"/>
        </w:rPr>
        <w:t>a demograficzna</w:t>
      </w:r>
    </w:p>
    <w:p w:rsidR="006B5BE2" w:rsidRPr="001B2353" w:rsidRDefault="00881B96" w:rsidP="00357BFD">
      <w:pPr>
        <w:spacing w:line="360" w:lineRule="auto"/>
        <w:ind w:firstLine="708"/>
        <w:jc w:val="both"/>
        <w:rPr>
          <w:rFonts w:asciiTheme="minorHAnsi" w:hAnsiTheme="minorHAnsi"/>
          <w:sz w:val="22"/>
          <w:szCs w:val="22"/>
        </w:rPr>
      </w:pPr>
      <w:r w:rsidRPr="001B2353">
        <w:rPr>
          <w:rFonts w:asciiTheme="minorHAnsi" w:hAnsiTheme="minorHAnsi"/>
          <w:sz w:val="22"/>
          <w:szCs w:val="22"/>
        </w:rPr>
        <w:t>W oparciu o prognozę ludności kraju opracowana przez GUS na</w:t>
      </w:r>
      <w:r w:rsidR="00031F5F">
        <w:rPr>
          <w:rFonts w:asciiTheme="minorHAnsi" w:hAnsiTheme="minorHAnsi"/>
          <w:sz w:val="22"/>
          <w:szCs w:val="22"/>
        </w:rPr>
        <w:t xml:space="preserve"> </w:t>
      </w:r>
      <w:r w:rsidRPr="001B2353">
        <w:rPr>
          <w:rFonts w:asciiTheme="minorHAnsi" w:hAnsiTheme="minorHAnsi"/>
          <w:sz w:val="22"/>
          <w:szCs w:val="22"/>
        </w:rPr>
        <w:t xml:space="preserve">lata 2008-2035, liczba ludności województwa będzie systematycznie maleć </w:t>
      </w:r>
      <w:r w:rsidR="001B2353">
        <w:rPr>
          <w:rFonts w:asciiTheme="minorHAnsi" w:hAnsiTheme="minorHAnsi"/>
          <w:sz w:val="22"/>
          <w:szCs w:val="22"/>
        </w:rPr>
        <w:t xml:space="preserve">w całym prognozowanym okresie. </w:t>
      </w:r>
      <w:r w:rsidR="003712A9" w:rsidRPr="001B2353">
        <w:rPr>
          <w:rFonts w:asciiTheme="minorHAnsi" w:hAnsiTheme="minorHAnsi"/>
          <w:sz w:val="22"/>
          <w:szCs w:val="22"/>
        </w:rPr>
        <w:t>L</w:t>
      </w:r>
      <w:r w:rsidRPr="001B2353">
        <w:rPr>
          <w:rFonts w:asciiTheme="minorHAnsi" w:hAnsiTheme="minorHAnsi"/>
          <w:sz w:val="22"/>
          <w:szCs w:val="22"/>
        </w:rPr>
        <w:t xml:space="preserve">iczba mieszkańców województwa zmniejszy się o 264,2 tys. osób. Spadek liczby ludności następować będzie w miastach </w:t>
      </w:r>
      <w:r w:rsidR="003712A9" w:rsidRPr="001B2353">
        <w:rPr>
          <w:rFonts w:asciiTheme="minorHAnsi" w:hAnsiTheme="minorHAnsi"/>
          <w:sz w:val="22"/>
          <w:szCs w:val="22"/>
        </w:rPr>
        <w:br/>
      </w:r>
      <w:r w:rsidRPr="001B2353">
        <w:rPr>
          <w:rFonts w:asciiTheme="minorHAnsi" w:hAnsiTheme="minorHAnsi"/>
          <w:sz w:val="22"/>
          <w:szCs w:val="22"/>
        </w:rPr>
        <w:t>o 273,3 tys. osób, natomiast liczba mieszkańców wsi nieznacznie wzrośnie –o 9,1 tys. osób.</w:t>
      </w:r>
    </w:p>
    <w:p w:rsidR="00AA6BA5" w:rsidRPr="001B2353" w:rsidRDefault="00AA6BA5" w:rsidP="00357BFD">
      <w:pPr>
        <w:spacing w:line="360" w:lineRule="auto"/>
        <w:ind w:firstLine="708"/>
        <w:jc w:val="both"/>
        <w:rPr>
          <w:rFonts w:asciiTheme="minorHAnsi" w:hAnsiTheme="minorHAnsi"/>
          <w:sz w:val="22"/>
          <w:szCs w:val="22"/>
        </w:rPr>
      </w:pPr>
      <w:r w:rsidRPr="001B2353">
        <w:rPr>
          <w:rFonts w:asciiTheme="minorHAnsi" w:hAnsiTheme="minorHAnsi"/>
          <w:sz w:val="22"/>
          <w:szCs w:val="22"/>
        </w:rPr>
        <w:t xml:space="preserve">W latach 2011-2015 prognoza przewiduje spadek liczby ludności województwa o 23,4 tys. osób, </w:t>
      </w:r>
      <w:r w:rsidR="0022301E" w:rsidRPr="001B2353">
        <w:rPr>
          <w:rFonts w:asciiTheme="minorHAnsi" w:hAnsiTheme="minorHAnsi"/>
          <w:sz w:val="22"/>
          <w:szCs w:val="22"/>
        </w:rPr>
        <w:br/>
      </w:r>
      <w:r w:rsidRPr="001B2353">
        <w:rPr>
          <w:rFonts w:asciiTheme="minorHAnsi" w:hAnsiTheme="minorHAnsi"/>
          <w:sz w:val="22"/>
          <w:szCs w:val="22"/>
        </w:rPr>
        <w:t>w tym o 33,4 tys. osób w miastach i zwiększenie liczby mi</w:t>
      </w:r>
      <w:r w:rsidR="001B2353">
        <w:rPr>
          <w:rFonts w:asciiTheme="minorHAnsi" w:hAnsiTheme="minorHAnsi"/>
          <w:sz w:val="22"/>
          <w:szCs w:val="22"/>
        </w:rPr>
        <w:t>eszkańców wsi o 10,0 tys. osób.</w:t>
      </w:r>
      <w:r w:rsidR="00172488" w:rsidRPr="001B2353">
        <w:rPr>
          <w:rFonts w:asciiTheme="minorHAnsi" w:hAnsiTheme="minorHAnsi"/>
          <w:sz w:val="22"/>
          <w:szCs w:val="22"/>
        </w:rPr>
        <w:t xml:space="preserve"> </w:t>
      </w:r>
      <w:r w:rsidRPr="001B2353">
        <w:rPr>
          <w:rFonts w:asciiTheme="minorHAnsi" w:hAnsiTheme="minorHAnsi"/>
          <w:sz w:val="22"/>
          <w:szCs w:val="22"/>
        </w:rPr>
        <w:t xml:space="preserve">W latach tych </w:t>
      </w:r>
      <w:r w:rsidR="0022301E" w:rsidRPr="001B2353">
        <w:rPr>
          <w:rFonts w:asciiTheme="minorHAnsi" w:hAnsiTheme="minorHAnsi"/>
          <w:sz w:val="22"/>
          <w:szCs w:val="22"/>
        </w:rPr>
        <w:br/>
      </w:r>
      <w:r w:rsidRPr="001B2353">
        <w:rPr>
          <w:rFonts w:asciiTheme="minorHAnsi" w:hAnsiTheme="minorHAnsi"/>
          <w:sz w:val="22"/>
          <w:szCs w:val="22"/>
        </w:rPr>
        <w:t xml:space="preserve">w strukturze wieku ludności województwa dolnośląskiego zachodzić będą następujące zmiany: </w:t>
      </w:r>
    </w:p>
    <w:p w:rsidR="00AA6BA5" w:rsidRPr="001B2353" w:rsidRDefault="00AA6BA5" w:rsidP="00357BFD">
      <w:pPr>
        <w:pStyle w:val="Default"/>
        <w:numPr>
          <w:ilvl w:val="0"/>
          <w:numId w:val="41"/>
        </w:numPr>
        <w:spacing w:line="360" w:lineRule="auto"/>
        <w:ind w:left="714" w:hanging="357"/>
        <w:jc w:val="both"/>
        <w:rPr>
          <w:rFonts w:asciiTheme="minorHAnsi" w:hAnsiTheme="minorHAnsi"/>
          <w:color w:val="auto"/>
          <w:sz w:val="22"/>
          <w:szCs w:val="22"/>
        </w:rPr>
      </w:pPr>
      <w:r w:rsidRPr="001B2353">
        <w:rPr>
          <w:rFonts w:asciiTheme="minorHAnsi" w:hAnsiTheme="minorHAnsi"/>
          <w:color w:val="auto"/>
          <w:sz w:val="22"/>
          <w:szCs w:val="22"/>
        </w:rPr>
        <w:t xml:space="preserve">zmniejszenie liczby ludności w wieku przedprodukcyjnym (0 - 17 lat) o 9,2 tys. osób, w tym kobiet </w:t>
      </w:r>
      <w:r w:rsidR="0022301E" w:rsidRPr="001B2353">
        <w:rPr>
          <w:rFonts w:asciiTheme="minorHAnsi" w:hAnsiTheme="minorHAnsi"/>
          <w:color w:val="auto"/>
          <w:sz w:val="22"/>
          <w:szCs w:val="22"/>
        </w:rPr>
        <w:br/>
      </w:r>
      <w:r w:rsidRPr="001B2353">
        <w:rPr>
          <w:rFonts w:asciiTheme="minorHAnsi" w:hAnsiTheme="minorHAnsi"/>
          <w:color w:val="auto"/>
          <w:sz w:val="22"/>
          <w:szCs w:val="22"/>
        </w:rPr>
        <w:t xml:space="preserve">o 4,9 tys. osób, </w:t>
      </w:r>
    </w:p>
    <w:p w:rsidR="00AA6BA5" w:rsidRPr="001B2353" w:rsidRDefault="00AA6BA5" w:rsidP="00357BFD">
      <w:pPr>
        <w:pStyle w:val="Default"/>
        <w:numPr>
          <w:ilvl w:val="0"/>
          <w:numId w:val="41"/>
        </w:numPr>
        <w:spacing w:line="360" w:lineRule="auto"/>
        <w:ind w:left="714" w:hanging="357"/>
        <w:jc w:val="both"/>
        <w:rPr>
          <w:rFonts w:asciiTheme="minorHAnsi" w:hAnsiTheme="minorHAnsi"/>
          <w:color w:val="auto"/>
          <w:sz w:val="22"/>
          <w:szCs w:val="22"/>
        </w:rPr>
      </w:pPr>
      <w:r w:rsidRPr="001B2353">
        <w:rPr>
          <w:rFonts w:asciiTheme="minorHAnsi" w:hAnsiTheme="minorHAnsi"/>
          <w:color w:val="auto"/>
          <w:sz w:val="22"/>
          <w:szCs w:val="22"/>
        </w:rPr>
        <w:t xml:space="preserve">znaczny spadek liczby ludności w wieku produkcyjnym (18-59/64 lat) o 85,9 tys. osób, w tym kobiet o 49,2 tys. osób. W kolejnych latach ludność w wieku produkcyjnym ulegnie dalszemu znacznemu zmniejszeniu (2015-2020 o 119,5 tys. osób). Udział ludności w wieku produkcyjnym w stosunku do ogółu ludności w 2011 wynosi 65,3% i w kolejnych latach będzie się obniżał do 62,7% w 2015 roku. Istotne zróżnicowanie tego wskaźnika występuje według płci – mężczyźni odpowiednio 71,2% </w:t>
      </w:r>
      <w:r w:rsidR="0022301E" w:rsidRPr="001B2353">
        <w:rPr>
          <w:rFonts w:asciiTheme="minorHAnsi" w:hAnsiTheme="minorHAnsi"/>
          <w:color w:val="auto"/>
          <w:sz w:val="22"/>
          <w:szCs w:val="22"/>
        </w:rPr>
        <w:br/>
      </w:r>
      <w:r w:rsidRPr="001B2353">
        <w:rPr>
          <w:rFonts w:asciiTheme="minorHAnsi" w:hAnsiTheme="minorHAnsi"/>
          <w:color w:val="auto"/>
          <w:sz w:val="22"/>
          <w:szCs w:val="22"/>
        </w:rPr>
        <w:t xml:space="preserve">w 2011 roku i 69,1% w 2015 roku, a kobiety 59,8% w 2011 roku i 56,9% w 2015 roku, </w:t>
      </w:r>
    </w:p>
    <w:p w:rsidR="00AA6BA5" w:rsidRPr="001B2353" w:rsidRDefault="00AA6BA5" w:rsidP="00357BFD">
      <w:pPr>
        <w:pStyle w:val="Default"/>
        <w:numPr>
          <w:ilvl w:val="0"/>
          <w:numId w:val="41"/>
        </w:numPr>
        <w:spacing w:line="360" w:lineRule="auto"/>
        <w:ind w:left="714" w:hanging="357"/>
        <w:jc w:val="both"/>
        <w:rPr>
          <w:rFonts w:asciiTheme="minorHAnsi" w:hAnsiTheme="minorHAnsi"/>
          <w:color w:val="auto"/>
          <w:sz w:val="22"/>
          <w:szCs w:val="22"/>
        </w:rPr>
      </w:pPr>
      <w:r w:rsidRPr="001B2353">
        <w:rPr>
          <w:rFonts w:asciiTheme="minorHAnsi" w:hAnsiTheme="minorHAnsi"/>
          <w:color w:val="auto"/>
          <w:sz w:val="22"/>
          <w:szCs w:val="22"/>
        </w:rPr>
        <w:lastRenderedPageBreak/>
        <w:t xml:space="preserve">największy spadek ludności w wieku produkcyjnym nastąpi w podgrupie niemobilnej 45-59/64 lat </w:t>
      </w:r>
      <w:r w:rsidR="0022301E" w:rsidRPr="001B2353">
        <w:rPr>
          <w:rFonts w:asciiTheme="minorHAnsi" w:hAnsiTheme="minorHAnsi"/>
          <w:color w:val="auto"/>
          <w:sz w:val="22"/>
          <w:szCs w:val="22"/>
        </w:rPr>
        <w:br/>
      </w:r>
      <w:r w:rsidRPr="001B2353">
        <w:rPr>
          <w:rFonts w:asciiTheme="minorHAnsi" w:hAnsiTheme="minorHAnsi"/>
          <w:color w:val="auto"/>
          <w:sz w:val="22"/>
          <w:szCs w:val="22"/>
        </w:rPr>
        <w:t xml:space="preserve">o 63,9 tys. osób (w tym w kobiet o 39,4 tys. osób tj. 61,7% grupy niemobilnej), </w:t>
      </w:r>
    </w:p>
    <w:p w:rsidR="00AA6BA5" w:rsidRPr="001B2353" w:rsidRDefault="00AA6BA5" w:rsidP="00357BFD">
      <w:pPr>
        <w:pStyle w:val="Default"/>
        <w:numPr>
          <w:ilvl w:val="0"/>
          <w:numId w:val="41"/>
        </w:numPr>
        <w:spacing w:line="360" w:lineRule="auto"/>
        <w:ind w:left="714" w:hanging="357"/>
        <w:jc w:val="both"/>
        <w:rPr>
          <w:rFonts w:asciiTheme="minorHAnsi" w:hAnsiTheme="minorHAnsi"/>
          <w:color w:val="auto"/>
          <w:sz w:val="22"/>
          <w:szCs w:val="22"/>
        </w:rPr>
      </w:pPr>
      <w:r w:rsidRPr="001B2353">
        <w:rPr>
          <w:rFonts w:asciiTheme="minorHAnsi" w:hAnsiTheme="minorHAnsi"/>
          <w:color w:val="auto"/>
          <w:sz w:val="22"/>
          <w:szCs w:val="22"/>
        </w:rPr>
        <w:t>znaczny wzrost liczebności grupy</w:t>
      </w:r>
      <w:r w:rsidR="00172488" w:rsidRPr="001B2353">
        <w:rPr>
          <w:rFonts w:asciiTheme="minorHAnsi" w:hAnsiTheme="minorHAnsi"/>
          <w:color w:val="auto"/>
          <w:sz w:val="22"/>
          <w:szCs w:val="22"/>
        </w:rPr>
        <w:t xml:space="preserve"> w</w:t>
      </w:r>
      <w:r w:rsidRPr="001B2353">
        <w:rPr>
          <w:rFonts w:asciiTheme="minorHAnsi" w:hAnsiTheme="minorHAnsi"/>
          <w:color w:val="auto"/>
          <w:sz w:val="22"/>
          <w:szCs w:val="22"/>
        </w:rPr>
        <w:t xml:space="preserve"> wieku poprodukcyjnym (60 lat kobiety i 65 lat mężczyźni </w:t>
      </w:r>
      <w:r w:rsidR="00172488" w:rsidRPr="001B2353">
        <w:rPr>
          <w:rFonts w:asciiTheme="minorHAnsi" w:hAnsiTheme="minorHAnsi"/>
          <w:color w:val="auto"/>
          <w:sz w:val="22"/>
          <w:szCs w:val="22"/>
        </w:rPr>
        <w:t xml:space="preserve">  </w:t>
      </w:r>
      <w:r w:rsidR="0022301E" w:rsidRPr="001B2353">
        <w:rPr>
          <w:rFonts w:asciiTheme="minorHAnsi" w:hAnsiTheme="minorHAnsi"/>
          <w:color w:val="auto"/>
          <w:sz w:val="22"/>
          <w:szCs w:val="22"/>
        </w:rPr>
        <w:br/>
      </w:r>
      <w:r w:rsidRPr="001B2353">
        <w:rPr>
          <w:rFonts w:asciiTheme="minorHAnsi" w:hAnsiTheme="minorHAnsi"/>
          <w:color w:val="auto"/>
          <w:sz w:val="22"/>
          <w:szCs w:val="22"/>
        </w:rPr>
        <w:t xml:space="preserve">i więcej lat) w latach 2011-2015 liczebność tej grupy wiekowej wzrośnie w przeciągu 4 lat o 71,7 tys. osób, tj. o 14,2%. Natomiast liczba kobiet w wieku poprodukcyjnym zwiększy się w latach 2011-2015 o 42,0 tys. osób. Wzrost </w:t>
      </w:r>
      <w:r w:rsidR="0022301E" w:rsidRPr="001B2353">
        <w:rPr>
          <w:rFonts w:asciiTheme="minorHAnsi" w:hAnsiTheme="minorHAnsi"/>
          <w:color w:val="auto"/>
          <w:sz w:val="22"/>
          <w:szCs w:val="22"/>
        </w:rPr>
        <w:t xml:space="preserve">tej grupy </w:t>
      </w:r>
      <w:r w:rsidRPr="001B2353">
        <w:rPr>
          <w:rFonts w:asciiTheme="minorHAnsi" w:hAnsiTheme="minorHAnsi"/>
          <w:color w:val="auto"/>
          <w:sz w:val="22"/>
          <w:szCs w:val="22"/>
        </w:rPr>
        <w:t xml:space="preserve">następować będzie w całym okresie prognozy, </w:t>
      </w:r>
    </w:p>
    <w:p w:rsidR="00AA6BA5" w:rsidRPr="001B2353" w:rsidRDefault="00AA6BA5" w:rsidP="00357BFD">
      <w:pPr>
        <w:pStyle w:val="Default"/>
        <w:numPr>
          <w:ilvl w:val="0"/>
          <w:numId w:val="41"/>
        </w:numPr>
        <w:spacing w:line="360" w:lineRule="auto"/>
        <w:ind w:left="714" w:hanging="357"/>
        <w:jc w:val="both"/>
        <w:rPr>
          <w:rFonts w:asciiTheme="minorHAnsi" w:hAnsiTheme="minorHAnsi"/>
          <w:color w:val="auto"/>
          <w:sz w:val="22"/>
          <w:szCs w:val="22"/>
        </w:rPr>
      </w:pPr>
      <w:r w:rsidRPr="001B2353">
        <w:rPr>
          <w:rFonts w:asciiTheme="minorHAnsi" w:hAnsiTheme="minorHAnsi"/>
          <w:color w:val="auto"/>
          <w:sz w:val="22"/>
          <w:szCs w:val="22"/>
        </w:rPr>
        <w:t xml:space="preserve">wskaźnik obciążenia ludności w wieku produkcyjnym ludnością młodą w roku 2011 wynosił 26,2% </w:t>
      </w:r>
      <w:r w:rsidR="0022301E" w:rsidRPr="001B2353">
        <w:rPr>
          <w:rFonts w:asciiTheme="minorHAnsi" w:hAnsiTheme="minorHAnsi"/>
          <w:color w:val="auto"/>
          <w:sz w:val="22"/>
          <w:szCs w:val="22"/>
        </w:rPr>
        <w:br/>
      </w:r>
      <w:r w:rsidRPr="001B2353">
        <w:rPr>
          <w:rFonts w:asciiTheme="minorHAnsi" w:hAnsiTheme="minorHAnsi"/>
          <w:color w:val="auto"/>
          <w:sz w:val="22"/>
          <w:szCs w:val="22"/>
        </w:rPr>
        <w:t xml:space="preserve">i w kolejnych latach minimalnie będzie wzrastał do 27,0% w 2015 roku, </w:t>
      </w:r>
    </w:p>
    <w:p w:rsidR="00AA6BA5" w:rsidRPr="001B2353" w:rsidRDefault="00AA6BA5" w:rsidP="00357BFD">
      <w:pPr>
        <w:pStyle w:val="Default"/>
        <w:numPr>
          <w:ilvl w:val="0"/>
          <w:numId w:val="41"/>
        </w:numPr>
        <w:spacing w:line="360" w:lineRule="auto"/>
        <w:ind w:left="714" w:hanging="357"/>
        <w:jc w:val="both"/>
        <w:rPr>
          <w:rFonts w:asciiTheme="minorHAnsi" w:hAnsiTheme="minorHAnsi"/>
          <w:color w:val="auto"/>
          <w:sz w:val="22"/>
          <w:szCs w:val="22"/>
        </w:rPr>
      </w:pPr>
      <w:r w:rsidRPr="001B2353">
        <w:rPr>
          <w:rFonts w:asciiTheme="minorHAnsi" w:hAnsiTheme="minorHAnsi"/>
          <w:color w:val="auto"/>
          <w:sz w:val="22"/>
          <w:szCs w:val="22"/>
        </w:rPr>
        <w:t xml:space="preserve">wskaźnik obciążeń ludności w wieku produkcyjnym ludnością w wieku poprodukcyjnym posiada tendencje rosnącą, która utrzyma się w całym okresie prognozy - w 2008 roku wynosił on 24,7% , </w:t>
      </w:r>
      <w:r w:rsidR="0022301E" w:rsidRPr="001B2353">
        <w:rPr>
          <w:rFonts w:asciiTheme="minorHAnsi" w:hAnsiTheme="minorHAnsi"/>
          <w:color w:val="auto"/>
          <w:sz w:val="22"/>
          <w:szCs w:val="22"/>
        </w:rPr>
        <w:br/>
      </w:r>
      <w:r w:rsidRPr="001B2353">
        <w:rPr>
          <w:rFonts w:asciiTheme="minorHAnsi" w:hAnsiTheme="minorHAnsi"/>
          <w:color w:val="auto"/>
          <w:sz w:val="22"/>
          <w:szCs w:val="22"/>
        </w:rPr>
        <w:t xml:space="preserve">w 2011 roku - 27,0%, a w 2015 roku ma wynieść – 32,3%, </w:t>
      </w:r>
    </w:p>
    <w:p w:rsidR="00AA6BA5" w:rsidRPr="001B2353" w:rsidRDefault="00AA6BA5" w:rsidP="00357BFD">
      <w:pPr>
        <w:pStyle w:val="Default"/>
        <w:numPr>
          <w:ilvl w:val="0"/>
          <w:numId w:val="41"/>
        </w:numPr>
        <w:spacing w:line="360" w:lineRule="auto"/>
        <w:ind w:left="714" w:hanging="357"/>
        <w:jc w:val="both"/>
        <w:rPr>
          <w:rFonts w:asciiTheme="minorHAnsi" w:hAnsiTheme="minorHAnsi"/>
          <w:color w:val="auto"/>
          <w:sz w:val="22"/>
          <w:szCs w:val="22"/>
        </w:rPr>
      </w:pPr>
      <w:r w:rsidRPr="001B2353">
        <w:rPr>
          <w:rFonts w:asciiTheme="minorHAnsi" w:hAnsiTheme="minorHAnsi"/>
          <w:color w:val="auto"/>
          <w:sz w:val="22"/>
          <w:szCs w:val="22"/>
        </w:rPr>
        <w:t>wskaźnik obciążenia demograficznego ludności w wieku produkcyjnym ludnością będąca poza tym wiekiem będzie coraz większy - w 2008 roku wynosił 51,6%, w 2011 roku - 53,3%</w:t>
      </w:r>
      <w:r w:rsidR="00031F5F">
        <w:rPr>
          <w:rFonts w:asciiTheme="minorHAnsi" w:hAnsiTheme="minorHAnsi"/>
          <w:color w:val="auto"/>
          <w:sz w:val="22"/>
          <w:szCs w:val="22"/>
        </w:rPr>
        <w:t>,</w:t>
      </w:r>
      <w:r w:rsidRPr="001B2353">
        <w:rPr>
          <w:rFonts w:asciiTheme="minorHAnsi" w:hAnsiTheme="minorHAnsi"/>
          <w:color w:val="auto"/>
          <w:sz w:val="22"/>
          <w:szCs w:val="22"/>
        </w:rPr>
        <w:t xml:space="preserve"> a w 2015 roku wyniesie aż 59,3%. Oznacz</w:t>
      </w:r>
      <w:r w:rsidR="00031F5F">
        <w:rPr>
          <w:rFonts w:asciiTheme="minorHAnsi" w:hAnsiTheme="minorHAnsi"/>
          <w:color w:val="auto"/>
          <w:sz w:val="22"/>
          <w:szCs w:val="22"/>
        </w:rPr>
        <w:t>a</w:t>
      </w:r>
      <w:r w:rsidRPr="001B2353">
        <w:rPr>
          <w:rFonts w:asciiTheme="minorHAnsi" w:hAnsiTheme="minorHAnsi"/>
          <w:color w:val="auto"/>
          <w:sz w:val="22"/>
          <w:szCs w:val="22"/>
        </w:rPr>
        <w:t xml:space="preserve"> to, że na 100 osób w wieku produkcyjnym przypadać będzie 59 osób poza tym wiekiem (osoby młode lub w wieku emerytalnym).  </w:t>
      </w:r>
    </w:p>
    <w:p w:rsidR="0022301E" w:rsidRPr="001B2353" w:rsidRDefault="0022301E" w:rsidP="0022301E">
      <w:pPr>
        <w:pStyle w:val="Default"/>
        <w:spacing w:line="360" w:lineRule="auto"/>
        <w:ind w:firstLine="357"/>
        <w:jc w:val="both"/>
        <w:rPr>
          <w:rFonts w:asciiTheme="minorHAnsi" w:hAnsiTheme="minorHAnsi"/>
          <w:b/>
          <w:bCs/>
          <w:sz w:val="22"/>
          <w:szCs w:val="22"/>
        </w:rPr>
      </w:pPr>
      <w:r w:rsidRPr="001B2353">
        <w:rPr>
          <w:rFonts w:asciiTheme="minorHAnsi" w:hAnsiTheme="minorHAnsi"/>
          <w:color w:val="auto"/>
          <w:sz w:val="22"/>
          <w:szCs w:val="22"/>
        </w:rPr>
        <w:tab/>
      </w:r>
      <w:r w:rsidR="00AA6BA5" w:rsidRPr="001B2353">
        <w:rPr>
          <w:rFonts w:asciiTheme="minorHAnsi" w:hAnsiTheme="minorHAnsi"/>
          <w:color w:val="auto"/>
          <w:sz w:val="22"/>
          <w:szCs w:val="22"/>
        </w:rPr>
        <w:t xml:space="preserve">Przedstawione zmiany w strukturze wieku ludności charakteryzować się będą przede wszystkim zmniejszaniem liczby ludności i starzeniem mieszkańców województwa, co charakteryzować będzie znaczący udziału osób w wieku poprodukcyjnym. </w:t>
      </w:r>
      <w:r w:rsidRPr="001B2353">
        <w:rPr>
          <w:rFonts w:asciiTheme="minorHAnsi" w:hAnsiTheme="minorHAnsi"/>
          <w:color w:val="auto"/>
          <w:sz w:val="22"/>
          <w:szCs w:val="22"/>
        </w:rPr>
        <w:t>Zmniejszenie liczebności ludności w wieku produkcyjnym, przy równoczesnym spadku ludności w ostatnich latach wieku przedprodukcyjnego, będzie miało istotne znaczenie dla zasobów pracy województwa.</w:t>
      </w:r>
      <w:r w:rsidRPr="001B2353">
        <w:rPr>
          <w:rFonts w:asciiTheme="minorHAnsi" w:hAnsiTheme="minorHAnsi"/>
          <w:b/>
          <w:bCs/>
          <w:sz w:val="22"/>
          <w:szCs w:val="22"/>
        </w:rPr>
        <w:t xml:space="preserve"> </w:t>
      </w:r>
      <w:r w:rsidRPr="001B2353">
        <w:rPr>
          <w:rFonts w:asciiTheme="minorHAnsi" w:hAnsiTheme="minorHAnsi"/>
          <w:b/>
          <w:bCs/>
          <w:sz w:val="22"/>
          <w:szCs w:val="22"/>
        </w:rPr>
        <w:br w:type="page"/>
      </w:r>
    </w:p>
    <w:p w:rsidR="002033D4" w:rsidRPr="001B2353" w:rsidRDefault="002033D4" w:rsidP="004B01EC">
      <w:pPr>
        <w:pStyle w:val="Default"/>
        <w:spacing w:line="360" w:lineRule="auto"/>
        <w:jc w:val="center"/>
        <w:rPr>
          <w:rFonts w:asciiTheme="minorHAnsi" w:hAnsiTheme="minorHAnsi"/>
          <w:color w:val="auto"/>
          <w:sz w:val="22"/>
          <w:szCs w:val="22"/>
        </w:rPr>
      </w:pPr>
      <w:r w:rsidRPr="001B2353">
        <w:rPr>
          <w:rFonts w:asciiTheme="minorHAnsi" w:hAnsiTheme="minorHAnsi"/>
          <w:b/>
          <w:bCs/>
          <w:sz w:val="22"/>
          <w:szCs w:val="22"/>
        </w:rPr>
        <w:lastRenderedPageBreak/>
        <w:t>ROZDZIAŁ 2</w:t>
      </w:r>
    </w:p>
    <w:p w:rsidR="002033D4" w:rsidRPr="001B2353" w:rsidRDefault="002033D4" w:rsidP="004B01EC">
      <w:pPr>
        <w:pStyle w:val="Default"/>
        <w:jc w:val="center"/>
        <w:rPr>
          <w:rFonts w:asciiTheme="minorHAnsi" w:hAnsiTheme="minorHAnsi"/>
          <w:b/>
          <w:bCs/>
          <w:sz w:val="22"/>
          <w:szCs w:val="22"/>
        </w:rPr>
      </w:pPr>
      <w:r w:rsidRPr="001B2353">
        <w:rPr>
          <w:rFonts w:asciiTheme="minorHAnsi" w:hAnsiTheme="minorHAnsi"/>
          <w:b/>
          <w:bCs/>
          <w:sz w:val="22"/>
          <w:szCs w:val="22"/>
        </w:rPr>
        <w:t xml:space="preserve">CELE POLITYKI RYNKU PRACY, PRIORYTETY, DZIAŁANIA I ZADANIA NA RZECZ ZATRUDNIENIA </w:t>
      </w:r>
      <w:r w:rsidR="00DA6AF0" w:rsidRPr="001B2353">
        <w:rPr>
          <w:rFonts w:asciiTheme="minorHAnsi" w:hAnsiTheme="minorHAnsi"/>
          <w:b/>
          <w:bCs/>
          <w:sz w:val="22"/>
          <w:szCs w:val="22"/>
        </w:rPr>
        <w:br/>
      </w:r>
      <w:r w:rsidRPr="001B2353">
        <w:rPr>
          <w:rFonts w:asciiTheme="minorHAnsi" w:hAnsiTheme="minorHAnsi"/>
          <w:b/>
          <w:bCs/>
          <w:sz w:val="22"/>
          <w:szCs w:val="22"/>
        </w:rPr>
        <w:t>NA 201</w:t>
      </w:r>
      <w:r w:rsidR="00A10139">
        <w:rPr>
          <w:rFonts w:asciiTheme="minorHAnsi" w:hAnsiTheme="minorHAnsi"/>
          <w:b/>
          <w:bCs/>
          <w:sz w:val="22"/>
          <w:szCs w:val="22"/>
        </w:rPr>
        <w:t>4</w:t>
      </w:r>
      <w:r w:rsidRPr="001B2353">
        <w:rPr>
          <w:rFonts w:asciiTheme="minorHAnsi" w:hAnsiTheme="minorHAnsi"/>
          <w:b/>
          <w:bCs/>
          <w:sz w:val="22"/>
          <w:szCs w:val="22"/>
        </w:rPr>
        <w:t xml:space="preserve"> ROK</w:t>
      </w:r>
    </w:p>
    <w:p w:rsidR="006B5BE2" w:rsidRPr="001B2353" w:rsidRDefault="006B5BE2" w:rsidP="00357BFD">
      <w:pPr>
        <w:pStyle w:val="Default"/>
        <w:spacing w:line="360" w:lineRule="auto"/>
        <w:jc w:val="center"/>
        <w:rPr>
          <w:rFonts w:asciiTheme="minorHAnsi" w:hAnsiTheme="minorHAnsi"/>
          <w:sz w:val="22"/>
          <w:szCs w:val="22"/>
        </w:rPr>
      </w:pPr>
    </w:p>
    <w:p w:rsidR="002033D4" w:rsidRPr="001B2353" w:rsidRDefault="002033D4" w:rsidP="004B01EC">
      <w:pPr>
        <w:pStyle w:val="Default"/>
        <w:spacing w:line="360" w:lineRule="auto"/>
        <w:ind w:firstLine="709"/>
        <w:jc w:val="both"/>
        <w:rPr>
          <w:rFonts w:asciiTheme="minorHAnsi" w:hAnsiTheme="minorHAnsi"/>
          <w:sz w:val="22"/>
          <w:szCs w:val="22"/>
        </w:rPr>
      </w:pPr>
      <w:r w:rsidRPr="001B2353">
        <w:rPr>
          <w:rFonts w:asciiTheme="minorHAnsi" w:hAnsiTheme="minorHAnsi"/>
          <w:sz w:val="22"/>
          <w:szCs w:val="22"/>
        </w:rPr>
        <w:t>Polityka rynku pracy prowadzona w 201</w:t>
      </w:r>
      <w:r w:rsidR="006563E4" w:rsidRPr="001B2353">
        <w:rPr>
          <w:rFonts w:asciiTheme="minorHAnsi" w:hAnsiTheme="minorHAnsi"/>
          <w:sz w:val="22"/>
          <w:szCs w:val="22"/>
        </w:rPr>
        <w:t>4</w:t>
      </w:r>
      <w:r w:rsidRPr="001B2353">
        <w:rPr>
          <w:rFonts w:asciiTheme="minorHAnsi" w:hAnsiTheme="minorHAnsi"/>
          <w:sz w:val="22"/>
          <w:szCs w:val="22"/>
        </w:rPr>
        <w:t xml:space="preserve"> ro</w:t>
      </w:r>
      <w:r w:rsidR="009F051F" w:rsidRPr="001B2353">
        <w:rPr>
          <w:rFonts w:asciiTheme="minorHAnsi" w:hAnsiTheme="minorHAnsi"/>
          <w:sz w:val="22"/>
          <w:szCs w:val="22"/>
        </w:rPr>
        <w:t>ku na Dolnym Śląsku wpisuje się</w:t>
      </w:r>
      <w:r w:rsidR="006B5BE2" w:rsidRPr="001B2353">
        <w:rPr>
          <w:rFonts w:asciiTheme="minorHAnsi" w:hAnsiTheme="minorHAnsi"/>
          <w:sz w:val="22"/>
          <w:szCs w:val="22"/>
        </w:rPr>
        <w:t xml:space="preserve"> </w:t>
      </w:r>
      <w:r w:rsidRPr="001B2353">
        <w:rPr>
          <w:rFonts w:asciiTheme="minorHAnsi" w:hAnsiTheme="minorHAnsi"/>
          <w:sz w:val="22"/>
          <w:szCs w:val="22"/>
        </w:rPr>
        <w:t xml:space="preserve">w kierunki polityk prowadzonych na szczeblu krajowym i regionalnym. </w:t>
      </w:r>
      <w:r w:rsidR="00954032" w:rsidRPr="001B2353">
        <w:rPr>
          <w:rFonts w:asciiTheme="minorHAnsi" w:hAnsiTheme="minorHAnsi"/>
          <w:sz w:val="22"/>
          <w:szCs w:val="22"/>
        </w:rPr>
        <w:t>G</w:t>
      </w:r>
      <w:r w:rsidRPr="001B2353">
        <w:rPr>
          <w:rFonts w:asciiTheme="minorHAnsi" w:hAnsiTheme="minorHAnsi"/>
          <w:sz w:val="22"/>
          <w:szCs w:val="22"/>
        </w:rPr>
        <w:t>łówn</w:t>
      </w:r>
      <w:r w:rsidR="00954032" w:rsidRPr="001B2353">
        <w:rPr>
          <w:rFonts w:asciiTheme="minorHAnsi" w:hAnsiTheme="minorHAnsi"/>
          <w:sz w:val="22"/>
          <w:szCs w:val="22"/>
        </w:rPr>
        <w:t xml:space="preserve">ymi </w:t>
      </w:r>
      <w:r w:rsidRPr="001B2353">
        <w:rPr>
          <w:rFonts w:asciiTheme="minorHAnsi" w:hAnsiTheme="minorHAnsi"/>
          <w:sz w:val="22"/>
          <w:szCs w:val="22"/>
        </w:rPr>
        <w:t>dokument</w:t>
      </w:r>
      <w:r w:rsidR="009F051F" w:rsidRPr="001B2353">
        <w:rPr>
          <w:rFonts w:asciiTheme="minorHAnsi" w:hAnsiTheme="minorHAnsi"/>
          <w:sz w:val="22"/>
          <w:szCs w:val="22"/>
        </w:rPr>
        <w:t>ami</w:t>
      </w:r>
      <w:r w:rsidRPr="001B2353">
        <w:rPr>
          <w:rFonts w:asciiTheme="minorHAnsi" w:hAnsiTheme="minorHAnsi"/>
          <w:sz w:val="22"/>
          <w:szCs w:val="22"/>
        </w:rPr>
        <w:t xml:space="preserve"> określając</w:t>
      </w:r>
      <w:r w:rsidR="00954032" w:rsidRPr="001B2353">
        <w:rPr>
          <w:rFonts w:asciiTheme="minorHAnsi" w:hAnsiTheme="minorHAnsi"/>
          <w:sz w:val="22"/>
          <w:szCs w:val="22"/>
        </w:rPr>
        <w:t>ymi</w:t>
      </w:r>
      <w:r w:rsidRPr="001B2353">
        <w:rPr>
          <w:rFonts w:asciiTheme="minorHAnsi" w:hAnsiTheme="minorHAnsi"/>
          <w:sz w:val="22"/>
          <w:szCs w:val="22"/>
        </w:rPr>
        <w:t xml:space="preserve"> kierunki polityki rynku pracy na szczeblu krajowym </w:t>
      </w:r>
      <w:r w:rsidR="00954032" w:rsidRPr="001B2353">
        <w:rPr>
          <w:rFonts w:asciiTheme="minorHAnsi" w:hAnsiTheme="minorHAnsi"/>
          <w:sz w:val="22"/>
          <w:szCs w:val="22"/>
        </w:rPr>
        <w:t>są</w:t>
      </w:r>
      <w:r w:rsidRPr="001B2353">
        <w:rPr>
          <w:rFonts w:asciiTheme="minorHAnsi" w:hAnsiTheme="minorHAnsi"/>
          <w:sz w:val="22"/>
          <w:szCs w:val="22"/>
        </w:rPr>
        <w:t xml:space="preserve">: </w:t>
      </w:r>
    </w:p>
    <w:p w:rsidR="002033D4" w:rsidRPr="001B2353" w:rsidRDefault="002033D4" w:rsidP="004B01EC">
      <w:pPr>
        <w:pStyle w:val="Default"/>
        <w:numPr>
          <w:ilvl w:val="0"/>
          <w:numId w:val="30"/>
        </w:numPr>
        <w:spacing w:line="360" w:lineRule="auto"/>
        <w:jc w:val="both"/>
        <w:rPr>
          <w:rFonts w:asciiTheme="minorHAnsi" w:hAnsiTheme="minorHAnsi"/>
          <w:sz w:val="22"/>
          <w:szCs w:val="22"/>
        </w:rPr>
      </w:pPr>
      <w:r w:rsidRPr="001B2353">
        <w:rPr>
          <w:rFonts w:asciiTheme="minorHAnsi" w:hAnsiTheme="minorHAnsi"/>
          <w:sz w:val="22"/>
          <w:szCs w:val="22"/>
        </w:rPr>
        <w:t>Strategi</w:t>
      </w:r>
      <w:r w:rsidR="00954032" w:rsidRPr="001B2353">
        <w:rPr>
          <w:rFonts w:asciiTheme="minorHAnsi" w:hAnsiTheme="minorHAnsi"/>
          <w:sz w:val="22"/>
          <w:szCs w:val="22"/>
        </w:rPr>
        <w:t>a</w:t>
      </w:r>
      <w:r w:rsidRPr="001B2353">
        <w:rPr>
          <w:rFonts w:asciiTheme="minorHAnsi" w:hAnsiTheme="minorHAnsi"/>
          <w:sz w:val="22"/>
          <w:szCs w:val="22"/>
        </w:rPr>
        <w:t xml:space="preserve"> Rozwoju Kraju 2007-2015, </w:t>
      </w:r>
    </w:p>
    <w:p w:rsidR="002033D4" w:rsidRPr="001B2353" w:rsidRDefault="002033D4" w:rsidP="004B01EC">
      <w:pPr>
        <w:pStyle w:val="Default"/>
        <w:numPr>
          <w:ilvl w:val="0"/>
          <w:numId w:val="30"/>
        </w:numPr>
        <w:spacing w:line="360" w:lineRule="auto"/>
        <w:jc w:val="both"/>
        <w:rPr>
          <w:rFonts w:asciiTheme="minorHAnsi" w:hAnsiTheme="minorHAnsi"/>
          <w:sz w:val="22"/>
          <w:szCs w:val="22"/>
        </w:rPr>
      </w:pPr>
      <w:r w:rsidRPr="001B2353">
        <w:rPr>
          <w:rFonts w:asciiTheme="minorHAnsi" w:hAnsiTheme="minorHAnsi"/>
          <w:sz w:val="22"/>
          <w:szCs w:val="22"/>
        </w:rPr>
        <w:t xml:space="preserve">Krajowy Program Reform na rzecz realizacji Strategii Europa 2020, </w:t>
      </w:r>
    </w:p>
    <w:p w:rsidR="002033D4" w:rsidRPr="001B2353" w:rsidRDefault="002033D4" w:rsidP="004B01EC">
      <w:pPr>
        <w:pStyle w:val="Default"/>
        <w:numPr>
          <w:ilvl w:val="0"/>
          <w:numId w:val="30"/>
        </w:numPr>
        <w:spacing w:line="360" w:lineRule="auto"/>
        <w:jc w:val="both"/>
        <w:rPr>
          <w:rFonts w:asciiTheme="minorHAnsi" w:hAnsiTheme="minorHAnsi"/>
          <w:sz w:val="22"/>
          <w:szCs w:val="22"/>
        </w:rPr>
      </w:pPr>
      <w:r w:rsidRPr="001B2353">
        <w:rPr>
          <w:rFonts w:asciiTheme="minorHAnsi" w:hAnsiTheme="minorHAnsi"/>
          <w:sz w:val="22"/>
          <w:szCs w:val="22"/>
        </w:rPr>
        <w:t>Krajow</w:t>
      </w:r>
      <w:r w:rsidR="00954032" w:rsidRPr="001B2353">
        <w:rPr>
          <w:rFonts w:asciiTheme="minorHAnsi" w:hAnsiTheme="minorHAnsi"/>
          <w:sz w:val="22"/>
          <w:szCs w:val="22"/>
        </w:rPr>
        <w:t>a</w:t>
      </w:r>
      <w:r w:rsidRPr="001B2353">
        <w:rPr>
          <w:rFonts w:asciiTheme="minorHAnsi" w:hAnsiTheme="minorHAnsi"/>
          <w:sz w:val="22"/>
          <w:szCs w:val="22"/>
        </w:rPr>
        <w:t xml:space="preserve"> Strategi</w:t>
      </w:r>
      <w:r w:rsidR="00954032" w:rsidRPr="001B2353">
        <w:rPr>
          <w:rFonts w:asciiTheme="minorHAnsi" w:hAnsiTheme="minorHAnsi"/>
          <w:sz w:val="22"/>
          <w:szCs w:val="22"/>
        </w:rPr>
        <w:t>a</w:t>
      </w:r>
      <w:r w:rsidRPr="001B2353">
        <w:rPr>
          <w:rFonts w:asciiTheme="minorHAnsi" w:hAnsiTheme="minorHAnsi"/>
          <w:sz w:val="22"/>
          <w:szCs w:val="22"/>
        </w:rPr>
        <w:t xml:space="preserve"> Rozwoju Regionalnego 2010-2020: regiony, miasta, obszary wiejskie, </w:t>
      </w:r>
    </w:p>
    <w:p w:rsidR="002033D4" w:rsidRPr="001B2353" w:rsidRDefault="002033D4" w:rsidP="004B01EC">
      <w:pPr>
        <w:pStyle w:val="Default"/>
        <w:numPr>
          <w:ilvl w:val="0"/>
          <w:numId w:val="30"/>
        </w:numPr>
        <w:spacing w:line="360" w:lineRule="auto"/>
        <w:jc w:val="both"/>
        <w:rPr>
          <w:rFonts w:asciiTheme="minorHAnsi" w:hAnsiTheme="minorHAnsi"/>
          <w:sz w:val="22"/>
          <w:szCs w:val="22"/>
        </w:rPr>
      </w:pPr>
      <w:r w:rsidRPr="001B2353">
        <w:rPr>
          <w:rFonts w:asciiTheme="minorHAnsi" w:hAnsiTheme="minorHAnsi"/>
          <w:sz w:val="22"/>
          <w:szCs w:val="22"/>
        </w:rPr>
        <w:t>Krajow</w:t>
      </w:r>
      <w:r w:rsidR="00954032" w:rsidRPr="001B2353">
        <w:rPr>
          <w:rFonts w:asciiTheme="minorHAnsi" w:hAnsiTheme="minorHAnsi"/>
          <w:sz w:val="22"/>
          <w:szCs w:val="22"/>
        </w:rPr>
        <w:t>y</w:t>
      </w:r>
      <w:r w:rsidRPr="001B2353">
        <w:rPr>
          <w:rFonts w:asciiTheme="minorHAnsi" w:hAnsiTheme="minorHAnsi"/>
          <w:sz w:val="22"/>
          <w:szCs w:val="22"/>
        </w:rPr>
        <w:t xml:space="preserve"> Plan Działań na Rzecz Zatrudnienia na lata 2012-2014, </w:t>
      </w:r>
    </w:p>
    <w:p w:rsidR="002033D4" w:rsidRPr="001B2353" w:rsidRDefault="002033D4" w:rsidP="004B01EC">
      <w:pPr>
        <w:pStyle w:val="Default"/>
        <w:numPr>
          <w:ilvl w:val="0"/>
          <w:numId w:val="30"/>
        </w:numPr>
        <w:spacing w:line="360" w:lineRule="auto"/>
        <w:jc w:val="both"/>
        <w:rPr>
          <w:rFonts w:asciiTheme="minorHAnsi" w:hAnsiTheme="minorHAnsi"/>
          <w:sz w:val="22"/>
          <w:szCs w:val="22"/>
        </w:rPr>
      </w:pPr>
      <w:r w:rsidRPr="001B2353">
        <w:rPr>
          <w:rFonts w:asciiTheme="minorHAnsi" w:hAnsiTheme="minorHAnsi"/>
          <w:sz w:val="22"/>
          <w:szCs w:val="22"/>
        </w:rPr>
        <w:t xml:space="preserve">Program Operacyjny Kapitał Ludzki na lata 2007-2013, </w:t>
      </w:r>
    </w:p>
    <w:p w:rsidR="002033D4" w:rsidRDefault="002033D4" w:rsidP="004B01EC">
      <w:pPr>
        <w:pStyle w:val="Default"/>
        <w:numPr>
          <w:ilvl w:val="0"/>
          <w:numId w:val="30"/>
        </w:numPr>
        <w:spacing w:line="360" w:lineRule="auto"/>
        <w:jc w:val="both"/>
        <w:rPr>
          <w:rFonts w:asciiTheme="minorHAnsi" w:hAnsiTheme="minorHAnsi"/>
          <w:sz w:val="22"/>
          <w:szCs w:val="22"/>
        </w:rPr>
      </w:pPr>
      <w:r w:rsidRPr="001B2353">
        <w:rPr>
          <w:rFonts w:asciiTheme="minorHAnsi" w:hAnsiTheme="minorHAnsi"/>
          <w:sz w:val="22"/>
          <w:szCs w:val="22"/>
        </w:rPr>
        <w:t>Długookresow</w:t>
      </w:r>
      <w:r w:rsidR="00954032" w:rsidRPr="001B2353">
        <w:rPr>
          <w:rFonts w:asciiTheme="minorHAnsi" w:hAnsiTheme="minorHAnsi"/>
          <w:sz w:val="22"/>
          <w:szCs w:val="22"/>
        </w:rPr>
        <w:t>a</w:t>
      </w:r>
      <w:r w:rsidRPr="001B2353">
        <w:rPr>
          <w:rFonts w:asciiTheme="minorHAnsi" w:hAnsiTheme="minorHAnsi"/>
          <w:sz w:val="22"/>
          <w:szCs w:val="22"/>
        </w:rPr>
        <w:t xml:space="preserve"> Strategi</w:t>
      </w:r>
      <w:r w:rsidR="00954032" w:rsidRPr="001B2353">
        <w:rPr>
          <w:rFonts w:asciiTheme="minorHAnsi" w:hAnsiTheme="minorHAnsi"/>
          <w:sz w:val="22"/>
          <w:szCs w:val="22"/>
        </w:rPr>
        <w:t>a</w:t>
      </w:r>
      <w:r w:rsidRPr="001B2353">
        <w:rPr>
          <w:rFonts w:asciiTheme="minorHAnsi" w:hAnsiTheme="minorHAnsi"/>
          <w:sz w:val="22"/>
          <w:szCs w:val="22"/>
        </w:rPr>
        <w:t xml:space="preserve"> Rozwoju Kraju: Polska 2030. Wyzwania Rozwojowe</w:t>
      </w:r>
      <w:r w:rsidR="00BC3145">
        <w:rPr>
          <w:rFonts w:asciiTheme="minorHAnsi" w:hAnsiTheme="minorHAnsi"/>
          <w:sz w:val="22"/>
          <w:szCs w:val="22"/>
        </w:rPr>
        <w:t>,</w:t>
      </w:r>
    </w:p>
    <w:p w:rsidR="00BC3145" w:rsidRDefault="00BC3145" w:rsidP="004B01EC">
      <w:pPr>
        <w:pStyle w:val="Default"/>
        <w:numPr>
          <w:ilvl w:val="0"/>
          <w:numId w:val="30"/>
        </w:numPr>
        <w:spacing w:line="360" w:lineRule="auto"/>
        <w:jc w:val="both"/>
        <w:rPr>
          <w:rFonts w:asciiTheme="minorHAnsi" w:hAnsiTheme="minorHAnsi"/>
          <w:sz w:val="22"/>
          <w:szCs w:val="22"/>
        </w:rPr>
      </w:pPr>
      <w:r>
        <w:rPr>
          <w:rFonts w:asciiTheme="minorHAnsi" w:hAnsiTheme="minorHAnsi"/>
          <w:sz w:val="22"/>
          <w:szCs w:val="22"/>
        </w:rPr>
        <w:t>Strategia Rozwoju Województwa Dolnośląskiego 2020</w:t>
      </w:r>
      <w:r w:rsidR="00A10139">
        <w:rPr>
          <w:rFonts w:asciiTheme="minorHAnsi" w:hAnsiTheme="minorHAnsi"/>
          <w:sz w:val="22"/>
          <w:szCs w:val="22"/>
        </w:rPr>
        <w:t>,</w:t>
      </w:r>
    </w:p>
    <w:p w:rsidR="00DA6AF0" w:rsidRPr="00680B2E" w:rsidRDefault="00A10139" w:rsidP="004B01EC">
      <w:pPr>
        <w:pStyle w:val="Default"/>
        <w:numPr>
          <w:ilvl w:val="0"/>
          <w:numId w:val="30"/>
        </w:numPr>
        <w:spacing w:line="360" w:lineRule="auto"/>
        <w:jc w:val="both"/>
        <w:rPr>
          <w:rFonts w:asciiTheme="minorHAnsi" w:hAnsiTheme="minorHAnsi"/>
          <w:sz w:val="22"/>
          <w:szCs w:val="22"/>
        </w:rPr>
      </w:pPr>
      <w:r>
        <w:rPr>
          <w:rFonts w:asciiTheme="minorHAnsi" w:hAnsiTheme="minorHAnsi"/>
          <w:sz w:val="22"/>
          <w:szCs w:val="22"/>
        </w:rPr>
        <w:t>Program Operacyjny Wiedza Edukacja Rozwój 2014-2020,</w:t>
      </w:r>
    </w:p>
    <w:p w:rsidR="00105AA1" w:rsidRPr="001B2353" w:rsidRDefault="00DA6AF0" w:rsidP="004B01EC">
      <w:pPr>
        <w:pStyle w:val="Default"/>
        <w:spacing w:line="360" w:lineRule="auto"/>
        <w:jc w:val="both"/>
        <w:rPr>
          <w:rFonts w:asciiTheme="minorHAnsi" w:hAnsiTheme="minorHAnsi"/>
          <w:color w:val="auto"/>
          <w:sz w:val="22"/>
          <w:szCs w:val="22"/>
        </w:rPr>
      </w:pPr>
      <w:r w:rsidRPr="001B2353">
        <w:rPr>
          <w:rFonts w:asciiTheme="minorHAnsi" w:hAnsiTheme="minorHAnsi"/>
          <w:color w:val="auto"/>
          <w:sz w:val="22"/>
          <w:szCs w:val="22"/>
        </w:rPr>
        <w:tab/>
      </w:r>
      <w:r w:rsidR="00105AA1" w:rsidRPr="001B2353">
        <w:rPr>
          <w:rFonts w:asciiTheme="minorHAnsi" w:hAnsiTheme="minorHAnsi"/>
          <w:color w:val="auto"/>
          <w:sz w:val="22"/>
          <w:szCs w:val="22"/>
        </w:rPr>
        <w:t xml:space="preserve">Dynamiczne zmiany gospodarcze zachodzące obecnie w Unii Europejskiej spowodowały, że jednym z najważniejszych podejść do realizacji polityki zatrudnienia jest model </w:t>
      </w:r>
      <w:proofErr w:type="spellStart"/>
      <w:r w:rsidR="00105AA1" w:rsidRPr="001B2353">
        <w:rPr>
          <w:rFonts w:asciiTheme="minorHAnsi" w:hAnsiTheme="minorHAnsi"/>
          <w:color w:val="auto"/>
          <w:sz w:val="22"/>
          <w:szCs w:val="22"/>
        </w:rPr>
        <w:t>flexicurity</w:t>
      </w:r>
      <w:proofErr w:type="spellEnd"/>
      <w:r w:rsidR="00105AA1" w:rsidRPr="001B2353">
        <w:rPr>
          <w:rFonts w:asciiTheme="minorHAnsi" w:hAnsiTheme="minorHAnsi"/>
          <w:color w:val="auto"/>
          <w:sz w:val="22"/>
          <w:szCs w:val="22"/>
        </w:rPr>
        <w:t>, który służy przede wszystkim osiągnięciu równowagi między elastycznością a bezpieczeństwem na rynku pracy. Raport „</w:t>
      </w:r>
      <w:proofErr w:type="spellStart"/>
      <w:r w:rsidR="00105AA1" w:rsidRPr="001B2353">
        <w:rPr>
          <w:rFonts w:asciiTheme="minorHAnsi" w:hAnsiTheme="minorHAnsi"/>
          <w:color w:val="auto"/>
          <w:sz w:val="22"/>
          <w:szCs w:val="22"/>
        </w:rPr>
        <w:t>Flexicurity</w:t>
      </w:r>
      <w:proofErr w:type="spellEnd"/>
      <w:r w:rsidR="00105AA1" w:rsidRPr="001B2353">
        <w:rPr>
          <w:rFonts w:asciiTheme="minorHAnsi" w:hAnsiTheme="minorHAnsi"/>
          <w:color w:val="auto"/>
          <w:sz w:val="22"/>
          <w:szCs w:val="22"/>
        </w:rPr>
        <w:t xml:space="preserve"> w Polsce. Diagnoza i rekomendacje” wskazuje cztery główne obszary wymagające wsparcia: </w:t>
      </w:r>
    </w:p>
    <w:p w:rsidR="00105AA1" w:rsidRPr="001B2353" w:rsidRDefault="00105AA1" w:rsidP="004B01EC">
      <w:pPr>
        <w:pStyle w:val="Default"/>
        <w:numPr>
          <w:ilvl w:val="0"/>
          <w:numId w:val="32"/>
        </w:numPr>
        <w:spacing w:line="360" w:lineRule="auto"/>
        <w:ind w:left="714" w:hanging="357"/>
        <w:jc w:val="both"/>
        <w:rPr>
          <w:rFonts w:asciiTheme="minorHAnsi" w:hAnsiTheme="minorHAnsi"/>
          <w:color w:val="auto"/>
          <w:sz w:val="22"/>
          <w:szCs w:val="22"/>
        </w:rPr>
      </w:pPr>
      <w:r w:rsidRPr="001B2353">
        <w:rPr>
          <w:rFonts w:asciiTheme="minorHAnsi" w:hAnsiTheme="minorHAnsi"/>
          <w:color w:val="auto"/>
          <w:sz w:val="22"/>
          <w:szCs w:val="22"/>
        </w:rPr>
        <w:t xml:space="preserve">aktywna polityka rynku pracy, dla której rekomendacje obejmują między innymi poprawę funkcjonowania publicznych służb zatrudnienia oraz rozwinięcie przez nie współpracy z partnerami społecznymi, zacieśnienie współpracy publicznych służb zatrudnienia z instytucjami pomocy społecznej oraz wzmocnienie ich roli w zakresie tworzenia partnerstw lokalnych służących rozwiązywaniu problemów lokalnych rynków pracy, </w:t>
      </w:r>
    </w:p>
    <w:p w:rsidR="00105AA1" w:rsidRPr="001B2353" w:rsidRDefault="00105AA1" w:rsidP="004B01EC">
      <w:pPr>
        <w:pStyle w:val="Default"/>
        <w:numPr>
          <w:ilvl w:val="0"/>
          <w:numId w:val="32"/>
        </w:numPr>
        <w:spacing w:line="360" w:lineRule="auto"/>
        <w:ind w:left="714" w:hanging="357"/>
        <w:jc w:val="both"/>
        <w:rPr>
          <w:rFonts w:asciiTheme="minorHAnsi" w:hAnsiTheme="minorHAnsi"/>
          <w:color w:val="auto"/>
          <w:sz w:val="22"/>
          <w:szCs w:val="22"/>
        </w:rPr>
      </w:pPr>
      <w:r w:rsidRPr="001B2353">
        <w:rPr>
          <w:rFonts w:asciiTheme="minorHAnsi" w:hAnsiTheme="minorHAnsi"/>
          <w:color w:val="auto"/>
          <w:sz w:val="22"/>
          <w:szCs w:val="22"/>
        </w:rPr>
        <w:t xml:space="preserve">rozwój kształcenia ustawicznego, który powinien się dokonywać głównie poprzez promocję tego rodzaju kształcenia wśród pracowników i pracodawców, rozbudowę istniejących oraz tworzenie nowych instytucji edukacji ustawicznej, opracowanie systemu zachęt (adresowanych do pracowników i pracodawców) do inwestowania w kształcenie ustawiczne oraz zaangażowania </w:t>
      </w:r>
      <w:r w:rsidR="004B01EC" w:rsidRPr="001B2353">
        <w:rPr>
          <w:rFonts w:asciiTheme="minorHAnsi" w:hAnsiTheme="minorHAnsi"/>
          <w:color w:val="auto"/>
          <w:sz w:val="22"/>
          <w:szCs w:val="22"/>
        </w:rPr>
        <w:br/>
      </w:r>
      <w:r w:rsidRPr="001B2353">
        <w:rPr>
          <w:rFonts w:asciiTheme="minorHAnsi" w:hAnsiTheme="minorHAnsi"/>
          <w:color w:val="auto"/>
          <w:sz w:val="22"/>
          <w:szCs w:val="22"/>
        </w:rPr>
        <w:t xml:space="preserve">w działania partnerów społecznych, </w:t>
      </w:r>
    </w:p>
    <w:p w:rsidR="00105AA1" w:rsidRPr="001B2353" w:rsidRDefault="00105AA1" w:rsidP="004B01EC">
      <w:pPr>
        <w:pStyle w:val="Default"/>
        <w:numPr>
          <w:ilvl w:val="0"/>
          <w:numId w:val="32"/>
        </w:numPr>
        <w:spacing w:line="360" w:lineRule="auto"/>
        <w:ind w:left="714" w:hanging="357"/>
        <w:jc w:val="both"/>
        <w:rPr>
          <w:rFonts w:asciiTheme="minorHAnsi" w:hAnsiTheme="minorHAnsi"/>
          <w:color w:val="auto"/>
          <w:sz w:val="22"/>
          <w:szCs w:val="22"/>
        </w:rPr>
      </w:pPr>
      <w:r w:rsidRPr="001B2353">
        <w:rPr>
          <w:rFonts w:asciiTheme="minorHAnsi" w:hAnsiTheme="minorHAnsi"/>
          <w:color w:val="auto"/>
          <w:sz w:val="22"/>
          <w:szCs w:val="22"/>
        </w:rPr>
        <w:t xml:space="preserve">nowoczesny system zabezpieczenia społecznego, który będzie efektywnie wspierał aktywne poszukiwanie pracy oraz zwiększał motywację do podejmowania zatrudnienia, </w:t>
      </w:r>
    </w:p>
    <w:p w:rsidR="00105AA1" w:rsidRPr="001B2353" w:rsidRDefault="00105AA1" w:rsidP="004B01EC">
      <w:pPr>
        <w:pStyle w:val="Default"/>
        <w:numPr>
          <w:ilvl w:val="0"/>
          <w:numId w:val="32"/>
        </w:numPr>
        <w:spacing w:line="360" w:lineRule="auto"/>
        <w:ind w:left="714" w:hanging="357"/>
        <w:jc w:val="both"/>
        <w:rPr>
          <w:rFonts w:asciiTheme="minorHAnsi" w:hAnsiTheme="minorHAnsi"/>
          <w:color w:val="auto"/>
          <w:sz w:val="22"/>
          <w:szCs w:val="22"/>
        </w:rPr>
      </w:pPr>
      <w:r w:rsidRPr="001B2353">
        <w:rPr>
          <w:rFonts w:asciiTheme="minorHAnsi" w:hAnsiTheme="minorHAnsi"/>
          <w:color w:val="auto"/>
          <w:sz w:val="22"/>
          <w:szCs w:val="22"/>
        </w:rPr>
        <w:t xml:space="preserve">rozwój alternatywnych form zatrudnienia, w ramach którego należy dążyć do zapewnienia pracownikom takich samych warunków zatrudnienia, jakie przysługują zatrudnionym w systemie tradycyjnym. </w:t>
      </w:r>
    </w:p>
    <w:p w:rsidR="00494CAB" w:rsidRPr="001B2353" w:rsidRDefault="00DA6AF0" w:rsidP="004B01EC">
      <w:pPr>
        <w:pStyle w:val="Default"/>
        <w:spacing w:line="360" w:lineRule="auto"/>
        <w:ind w:firstLine="360"/>
        <w:jc w:val="both"/>
        <w:rPr>
          <w:rFonts w:asciiTheme="minorHAnsi" w:hAnsiTheme="minorHAnsi"/>
          <w:color w:val="auto"/>
          <w:sz w:val="22"/>
          <w:szCs w:val="22"/>
        </w:rPr>
      </w:pPr>
      <w:r w:rsidRPr="001B2353">
        <w:rPr>
          <w:rFonts w:asciiTheme="minorHAnsi" w:hAnsiTheme="minorHAnsi"/>
          <w:sz w:val="22"/>
          <w:szCs w:val="22"/>
        </w:rPr>
        <w:tab/>
      </w:r>
      <w:r w:rsidR="00AA6BA5" w:rsidRPr="001B2353">
        <w:rPr>
          <w:rFonts w:asciiTheme="minorHAnsi" w:hAnsiTheme="minorHAnsi"/>
          <w:sz w:val="22"/>
          <w:szCs w:val="22"/>
        </w:rPr>
        <w:t>W kontekście</w:t>
      </w:r>
      <w:r w:rsidR="002033D4" w:rsidRPr="001B2353">
        <w:rPr>
          <w:rFonts w:asciiTheme="minorHAnsi" w:hAnsiTheme="minorHAnsi"/>
          <w:color w:val="auto"/>
          <w:sz w:val="22"/>
          <w:szCs w:val="22"/>
        </w:rPr>
        <w:t xml:space="preserve"> tych wyzwań podkreśla się konieczność zmiany podejścia do problematyki rynku pracy</w:t>
      </w:r>
      <w:r w:rsidR="006B5BE2" w:rsidRPr="001B2353">
        <w:rPr>
          <w:rFonts w:asciiTheme="minorHAnsi" w:hAnsiTheme="minorHAnsi"/>
          <w:color w:val="auto"/>
          <w:sz w:val="22"/>
          <w:szCs w:val="22"/>
        </w:rPr>
        <w:t xml:space="preserve"> </w:t>
      </w:r>
      <w:r w:rsidR="002033D4" w:rsidRPr="001B2353">
        <w:rPr>
          <w:rFonts w:asciiTheme="minorHAnsi" w:hAnsiTheme="minorHAnsi"/>
          <w:color w:val="auto"/>
          <w:sz w:val="22"/>
          <w:szCs w:val="22"/>
        </w:rPr>
        <w:t xml:space="preserve">i prowadzonych w tym obszarze działań, których celem powinno być osiągnięcie relatywnie niskiej stopy bezrobocia, zwiększenie stopy zatrudnienia szczególnie wśród osób dorosłych i niepełnosprawnych, </w:t>
      </w:r>
      <w:r w:rsidR="002033D4" w:rsidRPr="001B2353">
        <w:rPr>
          <w:rFonts w:asciiTheme="minorHAnsi" w:hAnsiTheme="minorHAnsi"/>
          <w:color w:val="auto"/>
          <w:sz w:val="22"/>
          <w:szCs w:val="22"/>
        </w:rPr>
        <w:lastRenderedPageBreak/>
        <w:t xml:space="preserve">zbliżenie wartości wskaźnika zatrudnienia kobiet do wartości wskaźnika zatrudnienia mężczyzn </w:t>
      </w:r>
      <w:r w:rsidR="001B5049" w:rsidRPr="001B2353">
        <w:rPr>
          <w:rFonts w:asciiTheme="minorHAnsi" w:hAnsiTheme="minorHAnsi"/>
          <w:color w:val="auto"/>
          <w:sz w:val="22"/>
          <w:szCs w:val="22"/>
        </w:rPr>
        <w:br/>
      </w:r>
      <w:r w:rsidR="002033D4" w:rsidRPr="001B2353">
        <w:rPr>
          <w:rFonts w:asciiTheme="minorHAnsi" w:hAnsiTheme="minorHAnsi"/>
          <w:color w:val="auto"/>
          <w:sz w:val="22"/>
          <w:szCs w:val="22"/>
        </w:rPr>
        <w:t xml:space="preserve">(we wszystkich grupach wiekowych), podniesienie udziału osób dorosłych zaangażowanych w kształcenie ustawiczne do 20% oraz osiągnięcie wysokiej elastyczności rynku pracy. </w:t>
      </w:r>
    </w:p>
    <w:p w:rsidR="002033D4" w:rsidRPr="001B2353" w:rsidRDefault="00DA6AF0" w:rsidP="004B01EC">
      <w:pPr>
        <w:pStyle w:val="Default"/>
        <w:spacing w:line="360" w:lineRule="auto"/>
        <w:ind w:firstLine="360"/>
        <w:jc w:val="both"/>
        <w:rPr>
          <w:rFonts w:asciiTheme="minorHAnsi" w:hAnsiTheme="minorHAnsi"/>
          <w:color w:val="auto"/>
          <w:sz w:val="22"/>
          <w:szCs w:val="22"/>
        </w:rPr>
      </w:pPr>
      <w:r w:rsidRPr="001B2353">
        <w:rPr>
          <w:rFonts w:asciiTheme="minorHAnsi" w:hAnsiTheme="minorHAnsi"/>
          <w:color w:val="auto"/>
          <w:sz w:val="22"/>
          <w:szCs w:val="22"/>
        </w:rPr>
        <w:tab/>
      </w:r>
      <w:r w:rsidR="00626F98" w:rsidRPr="001B2353">
        <w:rPr>
          <w:rFonts w:asciiTheme="minorHAnsi" w:hAnsiTheme="minorHAnsi"/>
          <w:color w:val="auto"/>
          <w:sz w:val="22"/>
          <w:szCs w:val="22"/>
        </w:rPr>
        <w:t>W</w:t>
      </w:r>
      <w:r w:rsidR="002033D4" w:rsidRPr="001B2353">
        <w:rPr>
          <w:rFonts w:asciiTheme="minorHAnsi" w:hAnsiTheme="minorHAnsi"/>
          <w:color w:val="auto"/>
          <w:sz w:val="22"/>
          <w:szCs w:val="22"/>
        </w:rPr>
        <w:t xml:space="preserve"> oparciu o przytoczone powyżej dokumenty strategiczne oraz wskazywane rekomendacje przyjęto następujące główne cele Dolnośląskiego Regionalnego Planu Działań na Rzecz Zatrudnienia </w:t>
      </w:r>
      <w:r w:rsidR="001B5049" w:rsidRPr="001B2353">
        <w:rPr>
          <w:rFonts w:asciiTheme="minorHAnsi" w:hAnsiTheme="minorHAnsi"/>
          <w:color w:val="auto"/>
          <w:sz w:val="22"/>
          <w:szCs w:val="22"/>
        </w:rPr>
        <w:br/>
      </w:r>
      <w:r w:rsidR="002033D4" w:rsidRPr="001B2353">
        <w:rPr>
          <w:rFonts w:asciiTheme="minorHAnsi" w:hAnsiTheme="minorHAnsi"/>
          <w:color w:val="auto"/>
          <w:sz w:val="22"/>
          <w:szCs w:val="22"/>
        </w:rPr>
        <w:t>na 201</w:t>
      </w:r>
      <w:r w:rsidR="00A10139">
        <w:rPr>
          <w:rFonts w:asciiTheme="minorHAnsi" w:hAnsiTheme="minorHAnsi"/>
          <w:color w:val="auto"/>
          <w:sz w:val="22"/>
          <w:szCs w:val="22"/>
        </w:rPr>
        <w:t>4</w:t>
      </w:r>
      <w:r w:rsidR="002033D4" w:rsidRPr="001B2353">
        <w:rPr>
          <w:rFonts w:asciiTheme="minorHAnsi" w:hAnsiTheme="minorHAnsi"/>
          <w:color w:val="auto"/>
          <w:sz w:val="22"/>
          <w:szCs w:val="22"/>
        </w:rPr>
        <w:t xml:space="preserve"> rok: </w:t>
      </w:r>
    </w:p>
    <w:p w:rsidR="002033D4" w:rsidRPr="001B2353" w:rsidRDefault="002033D4" w:rsidP="004B01EC">
      <w:pPr>
        <w:pStyle w:val="Default"/>
        <w:numPr>
          <w:ilvl w:val="0"/>
          <w:numId w:val="33"/>
        </w:numPr>
        <w:spacing w:line="360" w:lineRule="auto"/>
        <w:jc w:val="both"/>
        <w:rPr>
          <w:rFonts w:asciiTheme="minorHAnsi" w:hAnsiTheme="minorHAnsi"/>
          <w:color w:val="auto"/>
          <w:sz w:val="22"/>
          <w:szCs w:val="22"/>
        </w:rPr>
      </w:pPr>
      <w:r w:rsidRPr="001B2353">
        <w:rPr>
          <w:rFonts w:asciiTheme="minorHAnsi" w:hAnsiTheme="minorHAnsi"/>
          <w:color w:val="auto"/>
          <w:sz w:val="22"/>
          <w:szCs w:val="22"/>
        </w:rPr>
        <w:t xml:space="preserve">wzrost zatrudnienia w regionie oraz podniesienie jego jakości, </w:t>
      </w:r>
    </w:p>
    <w:p w:rsidR="002033D4" w:rsidRPr="001B2353" w:rsidRDefault="002033D4" w:rsidP="004B01EC">
      <w:pPr>
        <w:pStyle w:val="Default"/>
        <w:numPr>
          <w:ilvl w:val="0"/>
          <w:numId w:val="33"/>
        </w:numPr>
        <w:spacing w:line="360" w:lineRule="auto"/>
        <w:jc w:val="both"/>
        <w:rPr>
          <w:rFonts w:asciiTheme="minorHAnsi" w:hAnsiTheme="minorHAnsi"/>
          <w:color w:val="auto"/>
          <w:sz w:val="22"/>
          <w:szCs w:val="22"/>
        </w:rPr>
      </w:pPr>
      <w:r w:rsidRPr="001B2353">
        <w:rPr>
          <w:rFonts w:asciiTheme="minorHAnsi" w:hAnsiTheme="minorHAnsi"/>
          <w:color w:val="auto"/>
          <w:sz w:val="22"/>
          <w:szCs w:val="22"/>
        </w:rPr>
        <w:t xml:space="preserve">ograniczanie skutków bezrobocia, </w:t>
      </w:r>
    </w:p>
    <w:p w:rsidR="002033D4" w:rsidRPr="001B2353" w:rsidRDefault="002033D4" w:rsidP="004B01EC">
      <w:pPr>
        <w:pStyle w:val="Default"/>
        <w:numPr>
          <w:ilvl w:val="0"/>
          <w:numId w:val="33"/>
        </w:numPr>
        <w:spacing w:line="360" w:lineRule="auto"/>
        <w:jc w:val="both"/>
        <w:rPr>
          <w:rFonts w:asciiTheme="minorHAnsi" w:hAnsiTheme="minorHAnsi"/>
          <w:color w:val="auto"/>
          <w:sz w:val="22"/>
          <w:szCs w:val="22"/>
        </w:rPr>
      </w:pPr>
      <w:r w:rsidRPr="001B2353">
        <w:rPr>
          <w:rFonts w:asciiTheme="minorHAnsi" w:hAnsiTheme="minorHAnsi"/>
          <w:color w:val="auto"/>
          <w:sz w:val="22"/>
          <w:szCs w:val="22"/>
        </w:rPr>
        <w:t xml:space="preserve">poprawę jakości kapitału ludzkiego z uwzględnieniem potrzeb rynku pracy, </w:t>
      </w:r>
    </w:p>
    <w:p w:rsidR="002033D4" w:rsidRPr="001B2353" w:rsidRDefault="002033D4" w:rsidP="004B01EC">
      <w:pPr>
        <w:pStyle w:val="Default"/>
        <w:numPr>
          <w:ilvl w:val="0"/>
          <w:numId w:val="33"/>
        </w:numPr>
        <w:spacing w:line="360" w:lineRule="auto"/>
        <w:jc w:val="both"/>
        <w:rPr>
          <w:rFonts w:asciiTheme="minorHAnsi" w:hAnsiTheme="minorHAnsi"/>
          <w:color w:val="auto"/>
          <w:sz w:val="22"/>
          <w:szCs w:val="22"/>
        </w:rPr>
      </w:pPr>
      <w:r w:rsidRPr="001B2353">
        <w:rPr>
          <w:rFonts w:asciiTheme="minorHAnsi" w:hAnsiTheme="minorHAnsi"/>
          <w:color w:val="auto"/>
          <w:sz w:val="22"/>
          <w:szCs w:val="22"/>
        </w:rPr>
        <w:t xml:space="preserve">usprawnienie funkcjonowania instytucji rynku pracy, </w:t>
      </w:r>
    </w:p>
    <w:p w:rsidR="002033D4" w:rsidRPr="001B2353" w:rsidRDefault="002033D4" w:rsidP="004B01EC">
      <w:pPr>
        <w:pStyle w:val="Default"/>
        <w:numPr>
          <w:ilvl w:val="0"/>
          <w:numId w:val="33"/>
        </w:numPr>
        <w:spacing w:line="360" w:lineRule="auto"/>
        <w:jc w:val="both"/>
        <w:rPr>
          <w:rFonts w:asciiTheme="minorHAnsi" w:hAnsiTheme="minorHAnsi"/>
          <w:color w:val="auto"/>
          <w:sz w:val="22"/>
          <w:szCs w:val="22"/>
        </w:rPr>
      </w:pPr>
      <w:r w:rsidRPr="001B2353">
        <w:rPr>
          <w:rFonts w:asciiTheme="minorHAnsi" w:hAnsiTheme="minorHAnsi"/>
          <w:color w:val="auto"/>
          <w:sz w:val="22"/>
          <w:szCs w:val="22"/>
        </w:rPr>
        <w:t xml:space="preserve">zwiększenie efektywności podejmowanych działań. </w:t>
      </w:r>
    </w:p>
    <w:p w:rsidR="002033D4" w:rsidRPr="001B2353" w:rsidRDefault="00DA6AF0" w:rsidP="004B01EC">
      <w:pPr>
        <w:pStyle w:val="Default"/>
        <w:spacing w:line="360" w:lineRule="auto"/>
        <w:ind w:firstLine="360"/>
        <w:jc w:val="both"/>
        <w:rPr>
          <w:rFonts w:asciiTheme="minorHAnsi" w:hAnsiTheme="minorHAnsi"/>
          <w:color w:val="auto"/>
          <w:sz w:val="22"/>
          <w:szCs w:val="22"/>
        </w:rPr>
      </w:pPr>
      <w:r w:rsidRPr="001B2353">
        <w:rPr>
          <w:rFonts w:asciiTheme="minorHAnsi" w:hAnsiTheme="minorHAnsi"/>
          <w:color w:val="auto"/>
          <w:sz w:val="22"/>
          <w:szCs w:val="22"/>
        </w:rPr>
        <w:tab/>
      </w:r>
      <w:r w:rsidR="002033D4" w:rsidRPr="001B2353">
        <w:rPr>
          <w:rFonts w:asciiTheme="minorHAnsi" w:hAnsiTheme="minorHAnsi"/>
          <w:color w:val="auto"/>
          <w:sz w:val="22"/>
          <w:szCs w:val="22"/>
        </w:rPr>
        <w:t>Dolnośląski Regionalny Plan Działań na Rzecz Zatrudnienia w 201</w:t>
      </w:r>
      <w:r w:rsidR="006563E4" w:rsidRPr="001B2353">
        <w:rPr>
          <w:rFonts w:asciiTheme="minorHAnsi" w:hAnsiTheme="minorHAnsi"/>
          <w:color w:val="auto"/>
          <w:sz w:val="22"/>
          <w:szCs w:val="22"/>
        </w:rPr>
        <w:t>4</w:t>
      </w:r>
      <w:r w:rsidR="002033D4" w:rsidRPr="001B2353">
        <w:rPr>
          <w:rFonts w:asciiTheme="minorHAnsi" w:hAnsiTheme="minorHAnsi"/>
          <w:color w:val="auto"/>
          <w:sz w:val="22"/>
          <w:szCs w:val="22"/>
        </w:rPr>
        <w:t xml:space="preserve"> roku poprzez realizowane zadania skupia się przede wszystkim na rozwiązywaniu zdiagnozowanych, najważniejszych dla województwa problemów, zwłaszcza na: </w:t>
      </w:r>
    </w:p>
    <w:p w:rsidR="002033D4" w:rsidRPr="001B2353" w:rsidRDefault="002033D4" w:rsidP="004B01EC">
      <w:pPr>
        <w:pStyle w:val="Default"/>
        <w:numPr>
          <w:ilvl w:val="0"/>
          <w:numId w:val="44"/>
        </w:numPr>
        <w:spacing w:line="360" w:lineRule="auto"/>
        <w:jc w:val="both"/>
        <w:rPr>
          <w:rFonts w:asciiTheme="minorHAnsi" w:hAnsiTheme="minorHAnsi"/>
          <w:color w:val="auto"/>
          <w:sz w:val="22"/>
          <w:szCs w:val="22"/>
        </w:rPr>
      </w:pPr>
      <w:r w:rsidRPr="001B2353">
        <w:rPr>
          <w:rFonts w:asciiTheme="minorHAnsi" w:hAnsiTheme="minorHAnsi"/>
          <w:color w:val="auto"/>
          <w:sz w:val="22"/>
          <w:szCs w:val="22"/>
        </w:rPr>
        <w:t xml:space="preserve">wzroście aktywności zawodowej i edukacyjnej mieszkańców regionu, szczególnie wśród kobiet, osób w starszych grupach wiekowych oraz osób niepełnosprawnych, głównie z uwagi na niekorzystną prognozę demograficzną, </w:t>
      </w:r>
    </w:p>
    <w:p w:rsidR="002033D4" w:rsidRPr="001B2353" w:rsidRDefault="002033D4" w:rsidP="004B01EC">
      <w:pPr>
        <w:pStyle w:val="Default"/>
        <w:numPr>
          <w:ilvl w:val="0"/>
          <w:numId w:val="44"/>
        </w:numPr>
        <w:spacing w:line="360" w:lineRule="auto"/>
        <w:jc w:val="both"/>
        <w:rPr>
          <w:rFonts w:asciiTheme="minorHAnsi" w:hAnsiTheme="minorHAnsi"/>
          <w:color w:val="auto"/>
          <w:sz w:val="22"/>
          <w:szCs w:val="22"/>
        </w:rPr>
      </w:pPr>
      <w:r w:rsidRPr="001B2353">
        <w:rPr>
          <w:rFonts w:asciiTheme="minorHAnsi" w:hAnsiTheme="minorHAnsi"/>
          <w:color w:val="auto"/>
          <w:sz w:val="22"/>
          <w:szCs w:val="22"/>
        </w:rPr>
        <w:t xml:space="preserve">wspieraniu działań związanych z podnoszeniem i aktualizacją kwalifikacji dostosowanych do potrzeb pracodawców, służących poprawie zdolności do zatrudnienia oraz podnoszeniu poziomu aktywności zawodowej bezrobotnych i poszukujących pracy na dynamicznie zmieniającym się rynku pracy, </w:t>
      </w:r>
    </w:p>
    <w:p w:rsidR="002033D4" w:rsidRPr="001B2353" w:rsidRDefault="002033D4" w:rsidP="004B01EC">
      <w:pPr>
        <w:pStyle w:val="Default"/>
        <w:numPr>
          <w:ilvl w:val="0"/>
          <w:numId w:val="44"/>
        </w:numPr>
        <w:spacing w:line="360" w:lineRule="auto"/>
        <w:jc w:val="both"/>
        <w:rPr>
          <w:rFonts w:asciiTheme="minorHAnsi" w:hAnsiTheme="minorHAnsi"/>
          <w:color w:val="auto"/>
          <w:sz w:val="22"/>
          <w:szCs w:val="22"/>
        </w:rPr>
      </w:pPr>
      <w:r w:rsidRPr="001B2353">
        <w:rPr>
          <w:rFonts w:asciiTheme="minorHAnsi" w:hAnsiTheme="minorHAnsi"/>
          <w:color w:val="auto"/>
          <w:sz w:val="22"/>
          <w:szCs w:val="22"/>
        </w:rPr>
        <w:t>wspieraniu zatrudnienia osób młodych i ułatwianiu wejścia na rynek pracy absolwentom szkół wszystkich szczebli</w:t>
      </w:r>
      <w:r w:rsidR="00031F5F">
        <w:rPr>
          <w:rFonts w:asciiTheme="minorHAnsi" w:hAnsiTheme="minorHAnsi"/>
          <w:color w:val="auto"/>
          <w:sz w:val="22"/>
          <w:szCs w:val="22"/>
        </w:rPr>
        <w:t>,</w:t>
      </w:r>
      <w:r w:rsidRPr="001B2353">
        <w:rPr>
          <w:rFonts w:asciiTheme="minorHAnsi" w:hAnsiTheme="minorHAnsi"/>
          <w:color w:val="auto"/>
          <w:sz w:val="22"/>
          <w:szCs w:val="22"/>
        </w:rPr>
        <w:t xml:space="preserve"> a w szczególności szkół wyższych, </w:t>
      </w:r>
    </w:p>
    <w:p w:rsidR="002033D4" w:rsidRPr="001B2353" w:rsidRDefault="002033D4" w:rsidP="004B01EC">
      <w:pPr>
        <w:pStyle w:val="Default"/>
        <w:numPr>
          <w:ilvl w:val="0"/>
          <w:numId w:val="44"/>
        </w:numPr>
        <w:spacing w:line="360" w:lineRule="auto"/>
        <w:jc w:val="both"/>
        <w:rPr>
          <w:rFonts w:asciiTheme="minorHAnsi" w:hAnsiTheme="minorHAnsi"/>
          <w:color w:val="auto"/>
          <w:sz w:val="22"/>
          <w:szCs w:val="22"/>
        </w:rPr>
      </w:pPr>
      <w:r w:rsidRPr="001B2353">
        <w:rPr>
          <w:rFonts w:asciiTheme="minorHAnsi" w:hAnsiTheme="minorHAnsi"/>
          <w:color w:val="auto"/>
          <w:sz w:val="22"/>
          <w:szCs w:val="22"/>
        </w:rPr>
        <w:t xml:space="preserve">wspieraniu aktywizacji zawodowej bezrobotnych znajdujących się w szczególne trudnej sytuacji na rynku pracy, </w:t>
      </w:r>
    </w:p>
    <w:p w:rsidR="00494CAB" w:rsidRPr="001B2353" w:rsidRDefault="002033D4" w:rsidP="004B01EC">
      <w:pPr>
        <w:pStyle w:val="Default"/>
        <w:numPr>
          <w:ilvl w:val="0"/>
          <w:numId w:val="44"/>
        </w:numPr>
        <w:spacing w:line="360" w:lineRule="auto"/>
        <w:jc w:val="both"/>
        <w:rPr>
          <w:rFonts w:asciiTheme="minorHAnsi" w:hAnsiTheme="minorHAnsi"/>
          <w:color w:val="auto"/>
          <w:sz w:val="22"/>
          <w:szCs w:val="22"/>
        </w:rPr>
      </w:pPr>
      <w:r w:rsidRPr="001B2353">
        <w:rPr>
          <w:rFonts w:asciiTheme="minorHAnsi" w:hAnsiTheme="minorHAnsi"/>
          <w:color w:val="auto"/>
          <w:sz w:val="22"/>
          <w:szCs w:val="22"/>
        </w:rPr>
        <w:t xml:space="preserve">przeciwdziałaniu długotrwałemu bezrobociu i związanemu z tym wykluczeniu zawodowemu </w:t>
      </w:r>
      <w:r w:rsidR="00703D9F" w:rsidRPr="001B2353">
        <w:rPr>
          <w:rFonts w:asciiTheme="minorHAnsi" w:hAnsiTheme="minorHAnsi"/>
          <w:color w:val="auto"/>
          <w:sz w:val="22"/>
          <w:szCs w:val="22"/>
        </w:rPr>
        <w:br/>
      </w:r>
      <w:r w:rsidRPr="001B2353">
        <w:rPr>
          <w:rFonts w:asciiTheme="minorHAnsi" w:hAnsiTheme="minorHAnsi"/>
          <w:color w:val="auto"/>
          <w:sz w:val="22"/>
          <w:szCs w:val="22"/>
        </w:rPr>
        <w:t xml:space="preserve">i społecznemu, </w:t>
      </w:r>
    </w:p>
    <w:p w:rsidR="00494CAB" w:rsidRPr="001B2353" w:rsidRDefault="002033D4" w:rsidP="004B01EC">
      <w:pPr>
        <w:pStyle w:val="Default"/>
        <w:numPr>
          <w:ilvl w:val="0"/>
          <w:numId w:val="44"/>
        </w:numPr>
        <w:spacing w:line="360" w:lineRule="auto"/>
        <w:jc w:val="both"/>
        <w:rPr>
          <w:rFonts w:asciiTheme="minorHAnsi" w:hAnsiTheme="minorHAnsi"/>
          <w:color w:val="auto"/>
          <w:sz w:val="22"/>
          <w:szCs w:val="22"/>
        </w:rPr>
      </w:pPr>
      <w:r w:rsidRPr="001B2353">
        <w:rPr>
          <w:rFonts w:asciiTheme="minorHAnsi" w:hAnsiTheme="minorHAnsi"/>
          <w:color w:val="auto"/>
          <w:sz w:val="22"/>
          <w:szCs w:val="22"/>
        </w:rPr>
        <w:t xml:space="preserve">poprawie funkcjonowania publicznych służb zatrudnienia oraz zwiększeniu dostępu do usług przez nie świadczonych m.in. poprzez ściślejszą współpracę z partnerami społecznymi, </w:t>
      </w:r>
    </w:p>
    <w:p w:rsidR="00494CAB" w:rsidRPr="001B2353" w:rsidRDefault="002033D4" w:rsidP="004B01EC">
      <w:pPr>
        <w:pStyle w:val="Default"/>
        <w:numPr>
          <w:ilvl w:val="0"/>
          <w:numId w:val="44"/>
        </w:numPr>
        <w:spacing w:line="360" w:lineRule="auto"/>
        <w:jc w:val="both"/>
        <w:rPr>
          <w:rFonts w:asciiTheme="minorHAnsi" w:hAnsiTheme="minorHAnsi"/>
          <w:color w:val="auto"/>
          <w:sz w:val="22"/>
          <w:szCs w:val="22"/>
        </w:rPr>
      </w:pPr>
      <w:r w:rsidRPr="001B2353">
        <w:rPr>
          <w:rFonts w:asciiTheme="minorHAnsi" w:hAnsiTheme="minorHAnsi"/>
          <w:color w:val="auto"/>
          <w:sz w:val="22"/>
          <w:szCs w:val="22"/>
        </w:rPr>
        <w:t>racjonalnym i efektywnym wykorzystaniu środków krajowych i unijnych przeznaczonych na realizację zadań i projekt</w:t>
      </w:r>
      <w:r w:rsidR="00D12284">
        <w:rPr>
          <w:rFonts w:asciiTheme="minorHAnsi" w:hAnsiTheme="minorHAnsi"/>
          <w:color w:val="auto"/>
          <w:sz w:val="22"/>
          <w:szCs w:val="22"/>
        </w:rPr>
        <w:t>ów związanych z rynkiem pracy.</w:t>
      </w:r>
    </w:p>
    <w:p w:rsidR="002033D4" w:rsidRPr="001B2353" w:rsidRDefault="004B01EC" w:rsidP="00D12284">
      <w:pPr>
        <w:pStyle w:val="Default"/>
        <w:spacing w:line="360" w:lineRule="auto"/>
        <w:ind w:left="426"/>
        <w:jc w:val="both"/>
        <w:rPr>
          <w:rFonts w:asciiTheme="minorHAnsi" w:hAnsiTheme="minorHAnsi"/>
          <w:color w:val="auto"/>
          <w:sz w:val="22"/>
          <w:szCs w:val="22"/>
        </w:rPr>
      </w:pPr>
      <w:r w:rsidRPr="001B2353">
        <w:rPr>
          <w:rFonts w:asciiTheme="minorHAnsi" w:hAnsiTheme="minorHAnsi"/>
          <w:color w:val="auto"/>
          <w:sz w:val="22"/>
          <w:szCs w:val="22"/>
        </w:rPr>
        <w:tab/>
      </w:r>
      <w:r w:rsidR="002033D4" w:rsidRPr="001B2353">
        <w:rPr>
          <w:rFonts w:asciiTheme="minorHAnsi" w:hAnsiTheme="minorHAnsi"/>
          <w:color w:val="auto"/>
          <w:sz w:val="22"/>
          <w:szCs w:val="22"/>
        </w:rPr>
        <w:t>Dolnośląski Regionalny Plan Działań na Rzecz Zatrudnienia na 201</w:t>
      </w:r>
      <w:r w:rsidR="00B068F5">
        <w:rPr>
          <w:rFonts w:asciiTheme="minorHAnsi" w:hAnsiTheme="minorHAnsi"/>
          <w:color w:val="auto"/>
          <w:sz w:val="22"/>
          <w:szCs w:val="22"/>
        </w:rPr>
        <w:t>4</w:t>
      </w:r>
      <w:r w:rsidR="002033D4" w:rsidRPr="001B2353">
        <w:rPr>
          <w:rFonts w:asciiTheme="minorHAnsi" w:hAnsiTheme="minorHAnsi"/>
          <w:color w:val="auto"/>
          <w:sz w:val="22"/>
          <w:szCs w:val="22"/>
        </w:rPr>
        <w:t xml:space="preserve"> rok </w:t>
      </w:r>
      <w:r w:rsidR="00105AA1" w:rsidRPr="001B2353">
        <w:rPr>
          <w:rFonts w:asciiTheme="minorHAnsi" w:hAnsiTheme="minorHAnsi"/>
          <w:color w:val="auto"/>
          <w:sz w:val="22"/>
          <w:szCs w:val="22"/>
        </w:rPr>
        <w:t xml:space="preserve">skupia się </w:t>
      </w:r>
      <w:r w:rsidR="002033D4" w:rsidRPr="001B2353">
        <w:rPr>
          <w:rFonts w:asciiTheme="minorHAnsi" w:hAnsiTheme="minorHAnsi"/>
          <w:color w:val="auto"/>
          <w:sz w:val="22"/>
          <w:szCs w:val="22"/>
        </w:rPr>
        <w:t xml:space="preserve">w szczególności </w:t>
      </w:r>
      <w:r w:rsidR="00105AA1" w:rsidRPr="001B2353">
        <w:rPr>
          <w:rFonts w:asciiTheme="minorHAnsi" w:hAnsiTheme="minorHAnsi"/>
          <w:color w:val="auto"/>
          <w:sz w:val="22"/>
          <w:szCs w:val="22"/>
        </w:rPr>
        <w:t xml:space="preserve"> na </w:t>
      </w:r>
      <w:r w:rsidR="002033D4" w:rsidRPr="001B2353">
        <w:rPr>
          <w:rFonts w:asciiTheme="minorHAnsi" w:hAnsiTheme="minorHAnsi"/>
          <w:color w:val="auto"/>
          <w:sz w:val="22"/>
          <w:szCs w:val="22"/>
        </w:rPr>
        <w:t>realizacj</w:t>
      </w:r>
      <w:r w:rsidR="00105AA1" w:rsidRPr="001B2353">
        <w:rPr>
          <w:rFonts w:asciiTheme="minorHAnsi" w:hAnsiTheme="minorHAnsi"/>
          <w:color w:val="auto"/>
          <w:sz w:val="22"/>
          <w:szCs w:val="22"/>
        </w:rPr>
        <w:t>i</w:t>
      </w:r>
      <w:r w:rsidR="002033D4" w:rsidRPr="001B2353">
        <w:rPr>
          <w:rFonts w:asciiTheme="minorHAnsi" w:hAnsiTheme="minorHAnsi"/>
          <w:color w:val="auto"/>
          <w:sz w:val="22"/>
          <w:szCs w:val="22"/>
        </w:rPr>
        <w:t xml:space="preserve"> następujących podstawowych priorytetów: </w:t>
      </w:r>
    </w:p>
    <w:p w:rsidR="002033D4" w:rsidRPr="001B2353" w:rsidRDefault="002033D4" w:rsidP="004B01EC">
      <w:pPr>
        <w:pStyle w:val="Default"/>
        <w:numPr>
          <w:ilvl w:val="0"/>
          <w:numId w:val="35"/>
        </w:numPr>
        <w:spacing w:line="360" w:lineRule="auto"/>
        <w:jc w:val="both"/>
        <w:rPr>
          <w:rFonts w:asciiTheme="minorHAnsi" w:hAnsiTheme="minorHAnsi"/>
          <w:color w:val="auto"/>
          <w:sz w:val="22"/>
          <w:szCs w:val="22"/>
        </w:rPr>
      </w:pPr>
      <w:r w:rsidRPr="001B2353">
        <w:rPr>
          <w:rFonts w:asciiTheme="minorHAnsi" w:hAnsiTheme="minorHAnsi"/>
          <w:b/>
          <w:bCs/>
          <w:color w:val="auto"/>
          <w:sz w:val="22"/>
          <w:szCs w:val="22"/>
        </w:rPr>
        <w:t xml:space="preserve">Priorytet 1 </w:t>
      </w:r>
      <w:r w:rsidRPr="001B2353">
        <w:rPr>
          <w:rFonts w:asciiTheme="minorHAnsi" w:hAnsiTheme="minorHAnsi"/>
          <w:color w:val="auto"/>
          <w:sz w:val="22"/>
          <w:szCs w:val="22"/>
        </w:rPr>
        <w:t xml:space="preserve">- Wzrost aktywności zawodowej oraz edukacyjnej mieszkańców regionu, </w:t>
      </w:r>
    </w:p>
    <w:p w:rsidR="002033D4" w:rsidRPr="001B2353" w:rsidRDefault="002033D4" w:rsidP="004B01EC">
      <w:pPr>
        <w:pStyle w:val="Default"/>
        <w:numPr>
          <w:ilvl w:val="0"/>
          <w:numId w:val="35"/>
        </w:numPr>
        <w:spacing w:line="360" w:lineRule="auto"/>
        <w:jc w:val="both"/>
        <w:rPr>
          <w:rFonts w:asciiTheme="minorHAnsi" w:hAnsiTheme="minorHAnsi"/>
          <w:color w:val="auto"/>
          <w:sz w:val="22"/>
          <w:szCs w:val="22"/>
        </w:rPr>
      </w:pPr>
      <w:r w:rsidRPr="001B2353">
        <w:rPr>
          <w:rFonts w:asciiTheme="minorHAnsi" w:hAnsiTheme="minorHAnsi"/>
          <w:b/>
          <w:bCs/>
          <w:color w:val="auto"/>
          <w:sz w:val="22"/>
          <w:szCs w:val="22"/>
        </w:rPr>
        <w:t xml:space="preserve">Priorytet 2 </w:t>
      </w:r>
      <w:r w:rsidRPr="001B2353">
        <w:rPr>
          <w:rFonts w:asciiTheme="minorHAnsi" w:hAnsiTheme="minorHAnsi"/>
          <w:color w:val="auto"/>
          <w:sz w:val="22"/>
          <w:szCs w:val="22"/>
        </w:rPr>
        <w:t xml:space="preserve">- Usprawnienie regionalnego rynku pracy przy uwzględnieniu przygranicznego położenia regionu, </w:t>
      </w:r>
    </w:p>
    <w:p w:rsidR="002033D4" w:rsidRPr="001B2353" w:rsidRDefault="002033D4" w:rsidP="004B01EC">
      <w:pPr>
        <w:pStyle w:val="Default"/>
        <w:numPr>
          <w:ilvl w:val="0"/>
          <w:numId w:val="35"/>
        </w:numPr>
        <w:spacing w:line="360" w:lineRule="auto"/>
        <w:jc w:val="both"/>
        <w:rPr>
          <w:rFonts w:asciiTheme="minorHAnsi" w:hAnsiTheme="minorHAnsi"/>
          <w:color w:val="auto"/>
          <w:sz w:val="22"/>
          <w:szCs w:val="22"/>
        </w:rPr>
      </w:pPr>
      <w:r w:rsidRPr="001B2353">
        <w:rPr>
          <w:rFonts w:asciiTheme="minorHAnsi" w:hAnsiTheme="minorHAnsi"/>
          <w:b/>
          <w:bCs/>
          <w:color w:val="auto"/>
          <w:sz w:val="22"/>
          <w:szCs w:val="22"/>
        </w:rPr>
        <w:lastRenderedPageBreak/>
        <w:t xml:space="preserve">Priorytet 3 </w:t>
      </w:r>
      <w:r w:rsidRPr="001B2353">
        <w:rPr>
          <w:rFonts w:asciiTheme="minorHAnsi" w:hAnsiTheme="minorHAnsi"/>
          <w:color w:val="auto"/>
          <w:sz w:val="22"/>
          <w:szCs w:val="22"/>
        </w:rPr>
        <w:t xml:space="preserve">- Doskonalenie aktywnej polityki rynku pracy. </w:t>
      </w:r>
    </w:p>
    <w:p w:rsidR="002033D4" w:rsidRPr="001B2353" w:rsidRDefault="00494CAB" w:rsidP="004B01EC">
      <w:pPr>
        <w:pStyle w:val="Default"/>
        <w:spacing w:line="360" w:lineRule="auto"/>
        <w:ind w:firstLine="357"/>
        <w:jc w:val="both"/>
        <w:rPr>
          <w:rFonts w:asciiTheme="minorHAnsi" w:hAnsiTheme="minorHAnsi"/>
          <w:color w:val="auto"/>
          <w:sz w:val="22"/>
          <w:szCs w:val="22"/>
        </w:rPr>
      </w:pPr>
      <w:r w:rsidRPr="001B2353">
        <w:rPr>
          <w:rFonts w:asciiTheme="minorHAnsi" w:hAnsiTheme="minorHAnsi"/>
          <w:color w:val="auto"/>
          <w:sz w:val="22"/>
          <w:szCs w:val="22"/>
        </w:rPr>
        <w:tab/>
      </w:r>
      <w:r w:rsidR="002033D4" w:rsidRPr="001B2353">
        <w:rPr>
          <w:rFonts w:asciiTheme="minorHAnsi" w:hAnsiTheme="minorHAnsi"/>
          <w:color w:val="auto"/>
          <w:sz w:val="22"/>
          <w:szCs w:val="22"/>
        </w:rPr>
        <w:t xml:space="preserve">Realizacji powyższych priorytetów służyć będą podejmowane na Dolnym Śląsku kierunkowe działania, które są zgodne z priorytetowymi kierunkami polityki rynku pracy i rozwoju zasobów ludzkich określonymi w Strategii Rozwoju Województwa </w:t>
      </w:r>
      <w:r w:rsidR="00627E88" w:rsidRPr="001B2353">
        <w:rPr>
          <w:rFonts w:asciiTheme="minorHAnsi" w:hAnsiTheme="minorHAnsi"/>
          <w:color w:val="auto"/>
          <w:sz w:val="22"/>
          <w:szCs w:val="22"/>
        </w:rPr>
        <w:t xml:space="preserve">Dolnośląskiego </w:t>
      </w:r>
      <w:r w:rsidR="002033D4" w:rsidRPr="001B2353">
        <w:rPr>
          <w:rFonts w:asciiTheme="minorHAnsi" w:hAnsiTheme="minorHAnsi"/>
          <w:color w:val="auto"/>
          <w:sz w:val="22"/>
          <w:szCs w:val="22"/>
        </w:rPr>
        <w:t>2020</w:t>
      </w:r>
      <w:r w:rsidR="00985371" w:rsidRPr="001B2353">
        <w:rPr>
          <w:rFonts w:asciiTheme="minorHAnsi" w:hAnsiTheme="minorHAnsi"/>
          <w:color w:val="auto"/>
          <w:sz w:val="22"/>
          <w:szCs w:val="22"/>
        </w:rPr>
        <w:t xml:space="preserve">, w </w:t>
      </w:r>
      <w:r w:rsidR="00B068F5">
        <w:rPr>
          <w:rFonts w:asciiTheme="minorHAnsi" w:hAnsiTheme="minorHAnsi"/>
          <w:color w:val="auto"/>
          <w:sz w:val="22"/>
          <w:szCs w:val="22"/>
        </w:rPr>
        <w:t>tym zwłaszcza realizacji celu 6 </w:t>
      </w:r>
      <w:r w:rsidR="00985371" w:rsidRPr="001B2353">
        <w:rPr>
          <w:rFonts w:asciiTheme="minorHAnsi" w:hAnsiTheme="minorHAnsi"/>
          <w:color w:val="auto"/>
          <w:sz w:val="22"/>
          <w:szCs w:val="22"/>
        </w:rPr>
        <w:t>„Wzrost zatrudnienia i mobilności pracowników”</w:t>
      </w:r>
      <w:r w:rsidR="006563E4" w:rsidRPr="001B2353">
        <w:rPr>
          <w:rFonts w:asciiTheme="minorHAnsi" w:hAnsiTheme="minorHAnsi"/>
          <w:color w:val="auto"/>
          <w:sz w:val="22"/>
          <w:szCs w:val="22"/>
        </w:rPr>
        <w:t>.</w:t>
      </w:r>
      <w:r w:rsidR="002033D4" w:rsidRPr="001B2353">
        <w:rPr>
          <w:rFonts w:asciiTheme="minorHAnsi" w:hAnsiTheme="minorHAnsi"/>
          <w:color w:val="auto"/>
          <w:sz w:val="22"/>
          <w:szCs w:val="22"/>
        </w:rPr>
        <w:t xml:space="preserve"> </w:t>
      </w:r>
    </w:p>
    <w:p w:rsidR="002033D4" w:rsidRPr="001B2353" w:rsidRDefault="002033D4" w:rsidP="004B01EC">
      <w:pPr>
        <w:pStyle w:val="Default"/>
        <w:spacing w:line="360" w:lineRule="auto"/>
        <w:jc w:val="both"/>
        <w:rPr>
          <w:rFonts w:asciiTheme="minorHAnsi" w:hAnsiTheme="minorHAnsi"/>
          <w:color w:val="auto"/>
          <w:sz w:val="22"/>
          <w:szCs w:val="22"/>
          <w:u w:val="single"/>
        </w:rPr>
      </w:pPr>
      <w:r w:rsidRPr="001B2353">
        <w:rPr>
          <w:rFonts w:asciiTheme="minorHAnsi" w:hAnsiTheme="minorHAnsi"/>
          <w:color w:val="auto"/>
          <w:sz w:val="22"/>
          <w:szCs w:val="22"/>
          <w:u w:val="single"/>
        </w:rPr>
        <w:t xml:space="preserve">W ramach Priorytetu 1: </w:t>
      </w:r>
    </w:p>
    <w:p w:rsidR="002033D4" w:rsidRPr="001B2353" w:rsidRDefault="002033D4" w:rsidP="004B01EC">
      <w:pPr>
        <w:pStyle w:val="Default"/>
        <w:numPr>
          <w:ilvl w:val="0"/>
          <w:numId w:val="36"/>
        </w:numPr>
        <w:spacing w:line="360" w:lineRule="auto"/>
        <w:ind w:left="714" w:hanging="357"/>
        <w:jc w:val="both"/>
        <w:rPr>
          <w:rFonts w:asciiTheme="minorHAnsi" w:hAnsiTheme="minorHAnsi"/>
          <w:color w:val="auto"/>
          <w:sz w:val="22"/>
          <w:szCs w:val="22"/>
        </w:rPr>
      </w:pPr>
      <w:r w:rsidRPr="001B2353">
        <w:rPr>
          <w:rFonts w:asciiTheme="minorHAnsi" w:hAnsiTheme="minorHAnsi"/>
          <w:color w:val="auto"/>
          <w:sz w:val="22"/>
          <w:szCs w:val="22"/>
        </w:rPr>
        <w:t xml:space="preserve">wspieranie działań służących podnoszeniu aktywności zawodowej i edukacyjnej bezrobotnych </w:t>
      </w:r>
      <w:r w:rsidR="00494CAB" w:rsidRPr="001B2353">
        <w:rPr>
          <w:rFonts w:asciiTheme="minorHAnsi" w:hAnsiTheme="minorHAnsi"/>
          <w:color w:val="auto"/>
          <w:sz w:val="22"/>
          <w:szCs w:val="22"/>
        </w:rPr>
        <w:br/>
      </w:r>
      <w:r w:rsidRPr="001B2353">
        <w:rPr>
          <w:rFonts w:asciiTheme="minorHAnsi" w:hAnsiTheme="minorHAnsi"/>
          <w:color w:val="auto"/>
          <w:sz w:val="22"/>
          <w:szCs w:val="22"/>
        </w:rPr>
        <w:t xml:space="preserve">i poszukujących pracy, </w:t>
      </w:r>
    </w:p>
    <w:p w:rsidR="002033D4" w:rsidRPr="001B2353" w:rsidRDefault="002033D4" w:rsidP="004B01EC">
      <w:pPr>
        <w:pStyle w:val="Default"/>
        <w:numPr>
          <w:ilvl w:val="0"/>
          <w:numId w:val="36"/>
        </w:numPr>
        <w:spacing w:line="360" w:lineRule="auto"/>
        <w:ind w:left="714" w:hanging="357"/>
        <w:jc w:val="both"/>
        <w:rPr>
          <w:rFonts w:asciiTheme="minorHAnsi" w:hAnsiTheme="minorHAnsi"/>
          <w:color w:val="auto"/>
          <w:sz w:val="22"/>
          <w:szCs w:val="22"/>
        </w:rPr>
      </w:pPr>
      <w:r w:rsidRPr="001B2353">
        <w:rPr>
          <w:rFonts w:asciiTheme="minorHAnsi" w:hAnsiTheme="minorHAnsi"/>
          <w:color w:val="auto"/>
          <w:sz w:val="22"/>
          <w:szCs w:val="22"/>
        </w:rPr>
        <w:t>aktywizacja osób w wieku 50 plus</w:t>
      </w:r>
      <w:r w:rsidR="00105AA1" w:rsidRPr="001B2353">
        <w:rPr>
          <w:rFonts w:asciiTheme="minorHAnsi" w:hAnsiTheme="minorHAnsi"/>
          <w:color w:val="auto"/>
          <w:sz w:val="22"/>
          <w:szCs w:val="22"/>
        </w:rPr>
        <w:t xml:space="preserve"> oraz młodzieży do 30 roku życia</w:t>
      </w:r>
      <w:r w:rsidRPr="001B2353">
        <w:rPr>
          <w:rFonts w:asciiTheme="minorHAnsi" w:hAnsiTheme="minorHAnsi"/>
          <w:color w:val="auto"/>
          <w:sz w:val="22"/>
          <w:szCs w:val="22"/>
        </w:rPr>
        <w:t xml:space="preserve">, </w:t>
      </w:r>
    </w:p>
    <w:p w:rsidR="002033D4" w:rsidRPr="001B2353" w:rsidRDefault="002033D4" w:rsidP="004B01EC">
      <w:pPr>
        <w:pStyle w:val="Default"/>
        <w:numPr>
          <w:ilvl w:val="0"/>
          <w:numId w:val="36"/>
        </w:numPr>
        <w:spacing w:line="360" w:lineRule="auto"/>
        <w:ind w:left="714" w:hanging="357"/>
        <w:jc w:val="both"/>
        <w:rPr>
          <w:rFonts w:asciiTheme="minorHAnsi" w:hAnsiTheme="minorHAnsi"/>
          <w:color w:val="auto"/>
          <w:sz w:val="22"/>
          <w:szCs w:val="22"/>
        </w:rPr>
      </w:pPr>
      <w:r w:rsidRPr="001B2353">
        <w:rPr>
          <w:rFonts w:asciiTheme="minorHAnsi" w:hAnsiTheme="minorHAnsi"/>
          <w:color w:val="auto"/>
          <w:sz w:val="22"/>
          <w:szCs w:val="22"/>
        </w:rPr>
        <w:t xml:space="preserve">promowanie i wspieranie przedsiębiorczości w regionie, </w:t>
      </w:r>
    </w:p>
    <w:p w:rsidR="002033D4" w:rsidRPr="001B2353" w:rsidRDefault="002033D4" w:rsidP="004B01EC">
      <w:pPr>
        <w:pStyle w:val="Default"/>
        <w:numPr>
          <w:ilvl w:val="0"/>
          <w:numId w:val="36"/>
        </w:numPr>
        <w:spacing w:line="360" w:lineRule="auto"/>
        <w:ind w:left="714" w:hanging="357"/>
        <w:jc w:val="both"/>
        <w:rPr>
          <w:rFonts w:asciiTheme="minorHAnsi" w:hAnsiTheme="minorHAnsi"/>
          <w:color w:val="auto"/>
          <w:sz w:val="22"/>
          <w:szCs w:val="22"/>
        </w:rPr>
      </w:pPr>
      <w:r w:rsidRPr="001B2353">
        <w:rPr>
          <w:rFonts w:asciiTheme="minorHAnsi" w:hAnsiTheme="minorHAnsi"/>
          <w:color w:val="auto"/>
          <w:sz w:val="22"/>
          <w:szCs w:val="22"/>
        </w:rPr>
        <w:t xml:space="preserve">pomoc młodzieży rozpoczynającej karierę zawodową, </w:t>
      </w:r>
    </w:p>
    <w:p w:rsidR="002033D4" w:rsidRPr="001B2353" w:rsidRDefault="002033D4" w:rsidP="004B01EC">
      <w:pPr>
        <w:pStyle w:val="Default"/>
        <w:numPr>
          <w:ilvl w:val="0"/>
          <w:numId w:val="36"/>
        </w:numPr>
        <w:spacing w:line="360" w:lineRule="auto"/>
        <w:ind w:left="714" w:hanging="357"/>
        <w:jc w:val="both"/>
        <w:rPr>
          <w:rFonts w:asciiTheme="minorHAnsi" w:hAnsiTheme="minorHAnsi"/>
          <w:color w:val="auto"/>
          <w:sz w:val="22"/>
          <w:szCs w:val="22"/>
        </w:rPr>
      </w:pPr>
      <w:r w:rsidRPr="001B2353">
        <w:rPr>
          <w:rFonts w:asciiTheme="minorHAnsi" w:hAnsiTheme="minorHAnsi"/>
          <w:color w:val="auto"/>
          <w:sz w:val="22"/>
          <w:szCs w:val="22"/>
        </w:rPr>
        <w:t xml:space="preserve">wspieranie aktywizacji bezrobotnych znajdujących się w szczególnie trudnej sytuacji na rynku pracy, </w:t>
      </w:r>
    </w:p>
    <w:p w:rsidR="002033D4" w:rsidRDefault="002033D4" w:rsidP="004B01EC">
      <w:pPr>
        <w:pStyle w:val="Default"/>
        <w:numPr>
          <w:ilvl w:val="0"/>
          <w:numId w:val="36"/>
        </w:numPr>
        <w:spacing w:line="360" w:lineRule="auto"/>
        <w:ind w:left="714" w:hanging="357"/>
        <w:jc w:val="both"/>
        <w:rPr>
          <w:rFonts w:asciiTheme="minorHAnsi" w:hAnsiTheme="minorHAnsi"/>
          <w:color w:val="auto"/>
          <w:sz w:val="22"/>
          <w:szCs w:val="22"/>
        </w:rPr>
      </w:pPr>
      <w:r w:rsidRPr="001B2353">
        <w:rPr>
          <w:rFonts w:asciiTheme="minorHAnsi" w:hAnsiTheme="minorHAnsi"/>
          <w:color w:val="auto"/>
          <w:sz w:val="22"/>
          <w:szCs w:val="22"/>
        </w:rPr>
        <w:t xml:space="preserve">integracja zawodowa i społeczna osób zagrożonych wykluczeniem społecznym, </w:t>
      </w:r>
    </w:p>
    <w:p w:rsidR="00B068F5" w:rsidRPr="001B2353" w:rsidRDefault="00B068F5" w:rsidP="004B01EC">
      <w:pPr>
        <w:pStyle w:val="Default"/>
        <w:numPr>
          <w:ilvl w:val="0"/>
          <w:numId w:val="36"/>
        </w:numPr>
        <w:spacing w:line="360" w:lineRule="auto"/>
        <w:ind w:left="714" w:hanging="357"/>
        <w:jc w:val="both"/>
        <w:rPr>
          <w:rFonts w:asciiTheme="minorHAnsi" w:hAnsiTheme="minorHAnsi"/>
          <w:color w:val="auto"/>
          <w:sz w:val="22"/>
          <w:szCs w:val="22"/>
        </w:rPr>
      </w:pPr>
      <w:r w:rsidRPr="001B2353">
        <w:rPr>
          <w:rFonts w:asciiTheme="minorHAnsi" w:hAnsiTheme="minorHAnsi"/>
          <w:color w:val="auto"/>
          <w:sz w:val="22"/>
          <w:szCs w:val="22"/>
        </w:rPr>
        <w:t xml:space="preserve">promocja alternatywnych i elastycznych form zatrudnienia oraz metod organizacji pracy w ramach idei </w:t>
      </w:r>
      <w:proofErr w:type="spellStart"/>
      <w:r w:rsidRPr="001B2353">
        <w:rPr>
          <w:rFonts w:asciiTheme="minorHAnsi" w:hAnsiTheme="minorHAnsi"/>
          <w:color w:val="auto"/>
          <w:sz w:val="22"/>
          <w:szCs w:val="22"/>
        </w:rPr>
        <w:t>flexicurity</w:t>
      </w:r>
      <w:proofErr w:type="spellEnd"/>
      <w:r w:rsidRPr="001B2353">
        <w:rPr>
          <w:rFonts w:asciiTheme="minorHAnsi" w:hAnsiTheme="minorHAnsi"/>
          <w:color w:val="auto"/>
          <w:sz w:val="22"/>
          <w:szCs w:val="22"/>
        </w:rPr>
        <w:t xml:space="preserve"> - mająca na celu m.in. ograniczenie tzw. szarej strefy</w:t>
      </w:r>
    </w:p>
    <w:p w:rsidR="002033D4" w:rsidRPr="001B2353" w:rsidRDefault="002033D4" w:rsidP="004B01EC">
      <w:pPr>
        <w:pStyle w:val="Default"/>
        <w:numPr>
          <w:ilvl w:val="0"/>
          <w:numId w:val="36"/>
        </w:numPr>
        <w:spacing w:line="360" w:lineRule="auto"/>
        <w:ind w:left="714" w:hanging="357"/>
        <w:jc w:val="both"/>
        <w:rPr>
          <w:rFonts w:asciiTheme="minorHAnsi" w:hAnsiTheme="minorHAnsi"/>
          <w:color w:val="auto"/>
          <w:sz w:val="22"/>
          <w:szCs w:val="22"/>
        </w:rPr>
      </w:pPr>
      <w:r w:rsidRPr="001B2353">
        <w:rPr>
          <w:rFonts w:asciiTheme="minorHAnsi" w:hAnsiTheme="minorHAnsi"/>
          <w:color w:val="auto"/>
          <w:sz w:val="22"/>
          <w:szCs w:val="22"/>
        </w:rPr>
        <w:t xml:space="preserve">promowanie rozwiązań pozwalających na godzenie obowiązków rodzinnych z pracą, </w:t>
      </w:r>
    </w:p>
    <w:p w:rsidR="002033D4" w:rsidRPr="001B2353" w:rsidRDefault="002033D4" w:rsidP="004B01EC">
      <w:pPr>
        <w:pStyle w:val="Default"/>
        <w:spacing w:line="360" w:lineRule="auto"/>
        <w:jc w:val="both"/>
        <w:rPr>
          <w:rFonts w:asciiTheme="minorHAnsi" w:hAnsiTheme="minorHAnsi"/>
          <w:color w:val="auto"/>
          <w:sz w:val="22"/>
          <w:szCs w:val="22"/>
          <w:u w:val="single"/>
        </w:rPr>
      </w:pPr>
      <w:r w:rsidRPr="001B2353">
        <w:rPr>
          <w:rFonts w:asciiTheme="minorHAnsi" w:hAnsiTheme="minorHAnsi"/>
          <w:color w:val="auto"/>
          <w:sz w:val="22"/>
          <w:szCs w:val="22"/>
          <w:u w:val="single"/>
        </w:rPr>
        <w:t xml:space="preserve">W ramach Priorytetu 2: </w:t>
      </w:r>
    </w:p>
    <w:p w:rsidR="002033D4" w:rsidRPr="001B2353" w:rsidRDefault="002033D4" w:rsidP="004B01EC">
      <w:pPr>
        <w:pStyle w:val="Default"/>
        <w:numPr>
          <w:ilvl w:val="0"/>
          <w:numId w:val="37"/>
        </w:numPr>
        <w:spacing w:line="360" w:lineRule="auto"/>
        <w:jc w:val="both"/>
        <w:rPr>
          <w:rFonts w:asciiTheme="minorHAnsi" w:hAnsiTheme="minorHAnsi"/>
          <w:color w:val="auto"/>
          <w:sz w:val="22"/>
          <w:szCs w:val="22"/>
        </w:rPr>
      </w:pPr>
      <w:r w:rsidRPr="001B2353">
        <w:rPr>
          <w:rFonts w:asciiTheme="minorHAnsi" w:hAnsiTheme="minorHAnsi"/>
          <w:color w:val="auto"/>
          <w:sz w:val="22"/>
          <w:szCs w:val="22"/>
        </w:rPr>
        <w:t>rozwijanie współpracy między publicznymi służbami zatrudnienia</w:t>
      </w:r>
      <w:r w:rsidR="006331F6" w:rsidRPr="001B2353">
        <w:rPr>
          <w:rFonts w:asciiTheme="minorHAnsi" w:hAnsiTheme="minorHAnsi"/>
          <w:color w:val="auto"/>
          <w:sz w:val="22"/>
          <w:szCs w:val="22"/>
        </w:rPr>
        <w:t>,</w:t>
      </w:r>
      <w:r w:rsidRPr="001B2353">
        <w:rPr>
          <w:rFonts w:asciiTheme="minorHAnsi" w:hAnsiTheme="minorHAnsi"/>
          <w:color w:val="auto"/>
          <w:sz w:val="22"/>
          <w:szCs w:val="22"/>
        </w:rPr>
        <w:t xml:space="preserve"> a agencjami zatrudnienia </w:t>
      </w:r>
      <w:r w:rsidR="00494CAB" w:rsidRPr="001B2353">
        <w:rPr>
          <w:rFonts w:asciiTheme="minorHAnsi" w:hAnsiTheme="minorHAnsi"/>
          <w:color w:val="auto"/>
          <w:sz w:val="22"/>
          <w:szCs w:val="22"/>
        </w:rPr>
        <w:br/>
      </w:r>
      <w:r w:rsidRPr="001B2353">
        <w:rPr>
          <w:rFonts w:asciiTheme="minorHAnsi" w:hAnsiTheme="minorHAnsi"/>
          <w:color w:val="auto"/>
          <w:sz w:val="22"/>
          <w:szCs w:val="22"/>
        </w:rPr>
        <w:t xml:space="preserve">i pracodawcami, a także między publicznymi służbami zatrudnienia i jednostkami pomocy społecznej, partnerami społecznymi a zwłaszcza organizacjami pozarządowymi, </w:t>
      </w:r>
    </w:p>
    <w:p w:rsidR="002033D4" w:rsidRPr="001B2353" w:rsidRDefault="002033D4" w:rsidP="004B01EC">
      <w:pPr>
        <w:pStyle w:val="Default"/>
        <w:numPr>
          <w:ilvl w:val="0"/>
          <w:numId w:val="37"/>
        </w:numPr>
        <w:spacing w:line="360" w:lineRule="auto"/>
        <w:jc w:val="both"/>
        <w:rPr>
          <w:rFonts w:asciiTheme="minorHAnsi" w:hAnsiTheme="minorHAnsi"/>
          <w:color w:val="auto"/>
          <w:sz w:val="22"/>
          <w:szCs w:val="22"/>
        </w:rPr>
      </w:pPr>
      <w:r w:rsidRPr="001B2353">
        <w:rPr>
          <w:rFonts w:asciiTheme="minorHAnsi" w:hAnsiTheme="minorHAnsi"/>
          <w:color w:val="auto"/>
          <w:sz w:val="22"/>
          <w:szCs w:val="22"/>
        </w:rPr>
        <w:t>wspieranie mobilności zawodowej i przestrzennej pracowników i poszukujących pracy, w tym osób zamies</w:t>
      </w:r>
      <w:r w:rsidR="00BB750D">
        <w:rPr>
          <w:rFonts w:asciiTheme="minorHAnsi" w:hAnsiTheme="minorHAnsi"/>
          <w:color w:val="auto"/>
          <w:sz w:val="22"/>
          <w:szCs w:val="22"/>
        </w:rPr>
        <w:t xml:space="preserve">zkujących obszary peryferyjne, </w:t>
      </w:r>
    </w:p>
    <w:p w:rsidR="002033D4" w:rsidRPr="001B2353" w:rsidRDefault="002033D4" w:rsidP="004B01EC">
      <w:pPr>
        <w:pStyle w:val="Default"/>
        <w:numPr>
          <w:ilvl w:val="0"/>
          <w:numId w:val="37"/>
        </w:numPr>
        <w:spacing w:line="360" w:lineRule="auto"/>
        <w:jc w:val="both"/>
        <w:rPr>
          <w:rFonts w:asciiTheme="minorHAnsi" w:hAnsiTheme="minorHAnsi"/>
          <w:color w:val="auto"/>
          <w:sz w:val="22"/>
          <w:szCs w:val="22"/>
        </w:rPr>
      </w:pPr>
      <w:r w:rsidRPr="001B2353">
        <w:rPr>
          <w:rFonts w:asciiTheme="minorHAnsi" w:hAnsiTheme="minorHAnsi"/>
          <w:color w:val="auto"/>
          <w:sz w:val="22"/>
          <w:szCs w:val="22"/>
        </w:rPr>
        <w:t>rozwijanie sprawnego systemu monitoringu rynku pracy</w:t>
      </w:r>
      <w:r w:rsidR="006331F6" w:rsidRPr="001B2353">
        <w:rPr>
          <w:rFonts w:asciiTheme="minorHAnsi" w:hAnsiTheme="minorHAnsi"/>
          <w:color w:val="auto"/>
          <w:sz w:val="22"/>
          <w:szCs w:val="22"/>
        </w:rPr>
        <w:t>,</w:t>
      </w:r>
      <w:r w:rsidRPr="001B2353">
        <w:rPr>
          <w:rFonts w:asciiTheme="minorHAnsi" w:hAnsiTheme="minorHAnsi"/>
          <w:color w:val="auto"/>
          <w:sz w:val="22"/>
          <w:szCs w:val="22"/>
        </w:rPr>
        <w:t xml:space="preserve"> dostarczającego informacji o zawodach </w:t>
      </w:r>
      <w:r w:rsidR="00494CAB" w:rsidRPr="001B2353">
        <w:rPr>
          <w:rFonts w:asciiTheme="minorHAnsi" w:hAnsiTheme="minorHAnsi"/>
          <w:color w:val="auto"/>
          <w:sz w:val="22"/>
          <w:szCs w:val="22"/>
        </w:rPr>
        <w:br/>
      </w:r>
      <w:r w:rsidRPr="001B2353">
        <w:rPr>
          <w:rFonts w:asciiTheme="minorHAnsi" w:hAnsiTheme="minorHAnsi"/>
          <w:color w:val="auto"/>
          <w:sz w:val="22"/>
          <w:szCs w:val="22"/>
        </w:rPr>
        <w:t xml:space="preserve">i kwalifikacjach deficytowych i nadwyżkowych, o prognozowanych zmianach oraz kierunkach rozwoju kształtujących strukturę popytu na pracę, </w:t>
      </w:r>
    </w:p>
    <w:p w:rsidR="002033D4" w:rsidRDefault="002033D4" w:rsidP="004B01EC">
      <w:pPr>
        <w:pStyle w:val="Default"/>
        <w:numPr>
          <w:ilvl w:val="0"/>
          <w:numId w:val="37"/>
        </w:numPr>
        <w:spacing w:line="360" w:lineRule="auto"/>
        <w:jc w:val="both"/>
        <w:rPr>
          <w:rFonts w:asciiTheme="minorHAnsi" w:hAnsiTheme="minorHAnsi"/>
          <w:color w:val="auto"/>
          <w:sz w:val="22"/>
          <w:szCs w:val="22"/>
        </w:rPr>
      </w:pPr>
      <w:r w:rsidRPr="001B2353">
        <w:rPr>
          <w:rFonts w:asciiTheme="minorHAnsi" w:hAnsiTheme="minorHAnsi"/>
          <w:color w:val="auto"/>
          <w:sz w:val="22"/>
          <w:szCs w:val="22"/>
        </w:rPr>
        <w:t>badanie wpływu, rozmiarów i skali migracji zarobkowych na dolnośląskim rynku pracy oraz przeciwdziałanie ewentualnym n</w:t>
      </w:r>
      <w:r w:rsidR="00BB750D">
        <w:rPr>
          <w:rFonts w:asciiTheme="minorHAnsi" w:hAnsiTheme="minorHAnsi"/>
          <w:color w:val="auto"/>
          <w:sz w:val="22"/>
          <w:szCs w:val="22"/>
        </w:rPr>
        <w:t>egatywnym trendom,</w:t>
      </w:r>
    </w:p>
    <w:p w:rsidR="00BB750D" w:rsidRDefault="00BB750D" w:rsidP="004B01EC">
      <w:pPr>
        <w:pStyle w:val="Default"/>
        <w:numPr>
          <w:ilvl w:val="0"/>
          <w:numId w:val="37"/>
        </w:numPr>
        <w:spacing w:line="360" w:lineRule="auto"/>
        <w:jc w:val="both"/>
        <w:rPr>
          <w:rFonts w:asciiTheme="minorHAnsi" w:hAnsiTheme="minorHAnsi"/>
          <w:color w:val="auto"/>
          <w:sz w:val="22"/>
          <w:szCs w:val="22"/>
        </w:rPr>
      </w:pPr>
      <w:r>
        <w:rPr>
          <w:rFonts w:asciiTheme="minorHAnsi" w:hAnsiTheme="minorHAnsi"/>
          <w:color w:val="auto"/>
          <w:sz w:val="22"/>
          <w:szCs w:val="22"/>
        </w:rPr>
        <w:t>realizacja projektów międzynarodowych,</w:t>
      </w:r>
    </w:p>
    <w:p w:rsidR="00BB750D" w:rsidRDefault="00BB750D" w:rsidP="004B01EC">
      <w:pPr>
        <w:pStyle w:val="Default"/>
        <w:numPr>
          <w:ilvl w:val="0"/>
          <w:numId w:val="37"/>
        </w:numPr>
        <w:spacing w:line="360" w:lineRule="auto"/>
        <w:jc w:val="both"/>
        <w:rPr>
          <w:rFonts w:asciiTheme="minorHAnsi" w:hAnsiTheme="minorHAnsi"/>
          <w:color w:val="auto"/>
          <w:sz w:val="22"/>
          <w:szCs w:val="22"/>
        </w:rPr>
      </w:pPr>
      <w:r>
        <w:rPr>
          <w:rFonts w:asciiTheme="minorHAnsi" w:hAnsiTheme="minorHAnsi"/>
          <w:color w:val="auto"/>
          <w:sz w:val="22"/>
          <w:szCs w:val="22"/>
        </w:rPr>
        <w:t xml:space="preserve">współpraca w ramach Partnerstwa Transgranicznego </w:t>
      </w:r>
      <w:proofErr w:type="spellStart"/>
      <w:r>
        <w:rPr>
          <w:rFonts w:asciiTheme="minorHAnsi" w:hAnsiTheme="minorHAnsi"/>
          <w:color w:val="auto"/>
          <w:sz w:val="22"/>
          <w:szCs w:val="22"/>
        </w:rPr>
        <w:t>Eures-TriRegio</w:t>
      </w:r>
      <w:proofErr w:type="spellEnd"/>
    </w:p>
    <w:p w:rsidR="00BB750D" w:rsidRPr="001B2353" w:rsidRDefault="00BB750D" w:rsidP="004B01EC">
      <w:pPr>
        <w:pStyle w:val="Default"/>
        <w:numPr>
          <w:ilvl w:val="0"/>
          <w:numId w:val="37"/>
        </w:numPr>
        <w:spacing w:line="360" w:lineRule="auto"/>
        <w:jc w:val="both"/>
        <w:rPr>
          <w:rFonts w:asciiTheme="minorHAnsi" w:hAnsiTheme="minorHAnsi"/>
          <w:color w:val="auto"/>
          <w:sz w:val="22"/>
          <w:szCs w:val="22"/>
        </w:rPr>
      </w:pPr>
      <w:r>
        <w:rPr>
          <w:rFonts w:asciiTheme="minorHAnsi" w:hAnsiTheme="minorHAnsi"/>
          <w:color w:val="auto"/>
          <w:sz w:val="22"/>
          <w:szCs w:val="22"/>
        </w:rPr>
        <w:t>skuteczniejsze wykorzystanie potencjału sieci EURES dla zwiększenia transnarodowej mobilności pracowników.</w:t>
      </w:r>
    </w:p>
    <w:p w:rsidR="002033D4" w:rsidRPr="001B2353" w:rsidRDefault="002033D4" w:rsidP="004B01EC">
      <w:pPr>
        <w:pStyle w:val="Default"/>
        <w:spacing w:line="360" w:lineRule="auto"/>
        <w:jc w:val="both"/>
        <w:rPr>
          <w:rFonts w:asciiTheme="minorHAnsi" w:hAnsiTheme="minorHAnsi"/>
          <w:color w:val="auto"/>
          <w:sz w:val="22"/>
          <w:szCs w:val="22"/>
          <w:u w:val="single"/>
        </w:rPr>
      </w:pPr>
      <w:r w:rsidRPr="001B2353">
        <w:rPr>
          <w:rFonts w:asciiTheme="minorHAnsi" w:hAnsiTheme="minorHAnsi"/>
          <w:color w:val="auto"/>
          <w:sz w:val="22"/>
          <w:szCs w:val="22"/>
          <w:u w:val="single"/>
        </w:rPr>
        <w:t xml:space="preserve">W ramach Priorytetu 3: </w:t>
      </w:r>
    </w:p>
    <w:p w:rsidR="002033D4" w:rsidRPr="001B2353" w:rsidRDefault="002033D4" w:rsidP="004B01EC">
      <w:pPr>
        <w:pStyle w:val="Default"/>
        <w:numPr>
          <w:ilvl w:val="0"/>
          <w:numId w:val="38"/>
        </w:numPr>
        <w:spacing w:line="360" w:lineRule="auto"/>
        <w:ind w:left="714" w:hanging="357"/>
        <w:jc w:val="both"/>
        <w:rPr>
          <w:rFonts w:asciiTheme="minorHAnsi" w:hAnsiTheme="minorHAnsi"/>
          <w:color w:val="auto"/>
          <w:sz w:val="22"/>
          <w:szCs w:val="22"/>
        </w:rPr>
      </w:pPr>
      <w:r w:rsidRPr="001B2353">
        <w:rPr>
          <w:rFonts w:asciiTheme="minorHAnsi" w:hAnsiTheme="minorHAnsi"/>
          <w:color w:val="auto"/>
          <w:sz w:val="22"/>
          <w:szCs w:val="22"/>
        </w:rPr>
        <w:t xml:space="preserve">doskonalenie usług pośrednictwa pracy, poradnictwa zawodowego oraz pomocy w aktywnym poszukiwaniu pracy - świadczonych przez publiczne służby zatrudnienia, </w:t>
      </w:r>
    </w:p>
    <w:p w:rsidR="002033D4" w:rsidRPr="001B2353" w:rsidRDefault="002033D4" w:rsidP="004B01EC">
      <w:pPr>
        <w:pStyle w:val="Default"/>
        <w:numPr>
          <w:ilvl w:val="0"/>
          <w:numId w:val="38"/>
        </w:numPr>
        <w:spacing w:line="360" w:lineRule="auto"/>
        <w:ind w:left="714" w:hanging="357"/>
        <w:jc w:val="both"/>
        <w:rPr>
          <w:rFonts w:asciiTheme="minorHAnsi" w:hAnsiTheme="minorHAnsi"/>
          <w:color w:val="auto"/>
          <w:sz w:val="22"/>
          <w:szCs w:val="22"/>
        </w:rPr>
      </w:pPr>
      <w:r w:rsidRPr="001B2353">
        <w:rPr>
          <w:rFonts w:asciiTheme="minorHAnsi" w:hAnsiTheme="minorHAnsi"/>
          <w:color w:val="auto"/>
          <w:sz w:val="22"/>
          <w:szCs w:val="22"/>
        </w:rPr>
        <w:t xml:space="preserve">trafniejsze adresowania podstawowych usług i instrumentów aktywizacji do poszczególnych grup, </w:t>
      </w:r>
    </w:p>
    <w:p w:rsidR="002033D4" w:rsidRPr="001B2353" w:rsidRDefault="002033D4" w:rsidP="004B01EC">
      <w:pPr>
        <w:pStyle w:val="Default"/>
        <w:numPr>
          <w:ilvl w:val="0"/>
          <w:numId w:val="38"/>
        </w:numPr>
        <w:spacing w:line="360" w:lineRule="auto"/>
        <w:ind w:left="714" w:hanging="357"/>
        <w:jc w:val="both"/>
        <w:rPr>
          <w:rFonts w:asciiTheme="minorHAnsi" w:hAnsiTheme="minorHAnsi"/>
          <w:color w:val="auto"/>
          <w:sz w:val="22"/>
          <w:szCs w:val="22"/>
        </w:rPr>
      </w:pPr>
      <w:r w:rsidRPr="001B2353">
        <w:rPr>
          <w:rFonts w:asciiTheme="minorHAnsi" w:hAnsiTheme="minorHAnsi"/>
          <w:color w:val="auto"/>
          <w:sz w:val="22"/>
          <w:szCs w:val="22"/>
        </w:rPr>
        <w:t xml:space="preserve">zwiększenie dostępności do podstawowych usług rynku pracy, </w:t>
      </w:r>
    </w:p>
    <w:p w:rsidR="002033D4" w:rsidRPr="001B2353" w:rsidRDefault="002033D4" w:rsidP="004B01EC">
      <w:pPr>
        <w:pStyle w:val="Default"/>
        <w:numPr>
          <w:ilvl w:val="0"/>
          <w:numId w:val="38"/>
        </w:numPr>
        <w:spacing w:line="360" w:lineRule="auto"/>
        <w:ind w:left="714" w:hanging="357"/>
        <w:jc w:val="both"/>
        <w:rPr>
          <w:rFonts w:asciiTheme="minorHAnsi" w:hAnsiTheme="minorHAnsi"/>
          <w:color w:val="auto"/>
          <w:sz w:val="22"/>
          <w:szCs w:val="22"/>
        </w:rPr>
      </w:pPr>
      <w:r w:rsidRPr="001B2353">
        <w:rPr>
          <w:rFonts w:asciiTheme="minorHAnsi" w:hAnsiTheme="minorHAnsi"/>
          <w:color w:val="auto"/>
          <w:sz w:val="22"/>
          <w:szCs w:val="22"/>
        </w:rPr>
        <w:lastRenderedPageBreak/>
        <w:t xml:space="preserve">doskonalenie standardów i warunków realizacji usług rynku pracy oraz monitorowanie efektów ich stosowania przez publiczne służby zatrudnienia, </w:t>
      </w:r>
    </w:p>
    <w:p w:rsidR="004B01EC" w:rsidRPr="001B2353" w:rsidRDefault="002033D4" w:rsidP="004B01EC">
      <w:pPr>
        <w:pStyle w:val="Default"/>
        <w:numPr>
          <w:ilvl w:val="0"/>
          <w:numId w:val="38"/>
        </w:numPr>
        <w:spacing w:line="360" w:lineRule="auto"/>
        <w:ind w:left="714" w:hanging="357"/>
        <w:jc w:val="both"/>
        <w:rPr>
          <w:rFonts w:asciiTheme="minorHAnsi" w:hAnsiTheme="minorHAnsi"/>
          <w:color w:val="auto"/>
          <w:sz w:val="22"/>
          <w:szCs w:val="22"/>
        </w:rPr>
      </w:pPr>
      <w:r w:rsidRPr="001B2353">
        <w:rPr>
          <w:rFonts w:asciiTheme="minorHAnsi" w:hAnsiTheme="minorHAnsi"/>
          <w:color w:val="auto"/>
          <w:sz w:val="22"/>
          <w:szCs w:val="22"/>
        </w:rPr>
        <w:t>racjonalne i efektywne wykorzystanie środków krajowych i unijnych</w:t>
      </w:r>
      <w:r w:rsidR="004B01EC" w:rsidRPr="001B2353">
        <w:rPr>
          <w:rFonts w:asciiTheme="minorHAnsi" w:hAnsiTheme="minorHAnsi"/>
          <w:color w:val="auto"/>
          <w:sz w:val="22"/>
          <w:szCs w:val="22"/>
        </w:rPr>
        <w:t>,</w:t>
      </w:r>
      <w:r w:rsidRPr="001B2353">
        <w:rPr>
          <w:rFonts w:asciiTheme="minorHAnsi" w:hAnsiTheme="minorHAnsi"/>
          <w:color w:val="auto"/>
          <w:sz w:val="22"/>
          <w:szCs w:val="22"/>
        </w:rPr>
        <w:t xml:space="preserve"> </w:t>
      </w:r>
    </w:p>
    <w:p w:rsidR="002033D4" w:rsidRPr="001B2353" w:rsidRDefault="002033D4" w:rsidP="004B01EC">
      <w:pPr>
        <w:pStyle w:val="Default"/>
        <w:numPr>
          <w:ilvl w:val="0"/>
          <w:numId w:val="38"/>
        </w:numPr>
        <w:spacing w:line="360" w:lineRule="auto"/>
        <w:ind w:left="714" w:hanging="357"/>
        <w:jc w:val="both"/>
        <w:rPr>
          <w:rFonts w:asciiTheme="minorHAnsi" w:hAnsiTheme="minorHAnsi"/>
          <w:color w:val="auto"/>
          <w:sz w:val="22"/>
          <w:szCs w:val="22"/>
        </w:rPr>
      </w:pPr>
      <w:r w:rsidRPr="001B2353">
        <w:rPr>
          <w:rFonts w:asciiTheme="minorHAnsi" w:hAnsiTheme="minorHAnsi"/>
          <w:color w:val="auto"/>
          <w:sz w:val="22"/>
          <w:szCs w:val="22"/>
        </w:rPr>
        <w:t xml:space="preserve">podnoszenie kwalifikacji kadr publicznych służb zatrudnienia. </w:t>
      </w:r>
    </w:p>
    <w:p w:rsidR="002033D4" w:rsidRPr="001B2353" w:rsidRDefault="00A12BA4" w:rsidP="00D12284">
      <w:pPr>
        <w:pStyle w:val="Default"/>
        <w:spacing w:line="360" w:lineRule="auto"/>
        <w:ind w:left="426"/>
        <w:jc w:val="both"/>
        <w:rPr>
          <w:rFonts w:asciiTheme="minorHAnsi" w:hAnsiTheme="minorHAnsi"/>
          <w:color w:val="auto"/>
          <w:sz w:val="22"/>
          <w:szCs w:val="22"/>
        </w:rPr>
      </w:pPr>
      <w:r w:rsidRPr="001B2353">
        <w:rPr>
          <w:rFonts w:asciiTheme="minorHAnsi" w:hAnsiTheme="minorHAnsi"/>
          <w:color w:val="auto"/>
          <w:sz w:val="22"/>
          <w:szCs w:val="22"/>
        </w:rPr>
        <w:tab/>
      </w:r>
      <w:r w:rsidR="002033D4" w:rsidRPr="001B2353">
        <w:rPr>
          <w:rFonts w:asciiTheme="minorHAnsi" w:hAnsiTheme="minorHAnsi"/>
          <w:color w:val="auto"/>
          <w:sz w:val="22"/>
          <w:szCs w:val="22"/>
        </w:rPr>
        <w:t xml:space="preserve">Na podstawie przedstawionej w rozdziale 1 diagnozy za priorytetowe na Dolnym Śląsku grupy osób wymagające szczególnego wsparcia na rynku pracy uznać należy: </w:t>
      </w:r>
    </w:p>
    <w:p w:rsidR="002033D4" w:rsidRPr="001B2353" w:rsidRDefault="002033D4" w:rsidP="004B01EC">
      <w:pPr>
        <w:pStyle w:val="Default"/>
        <w:numPr>
          <w:ilvl w:val="0"/>
          <w:numId w:val="39"/>
        </w:numPr>
        <w:spacing w:line="360" w:lineRule="auto"/>
        <w:ind w:left="714" w:hanging="357"/>
        <w:jc w:val="both"/>
        <w:rPr>
          <w:rFonts w:asciiTheme="minorHAnsi" w:hAnsiTheme="minorHAnsi"/>
          <w:color w:val="auto"/>
          <w:sz w:val="22"/>
          <w:szCs w:val="22"/>
        </w:rPr>
      </w:pPr>
      <w:r w:rsidRPr="001B2353">
        <w:rPr>
          <w:rFonts w:asciiTheme="minorHAnsi" w:hAnsiTheme="minorHAnsi"/>
          <w:color w:val="auto"/>
          <w:sz w:val="22"/>
          <w:szCs w:val="22"/>
        </w:rPr>
        <w:t xml:space="preserve">bezrobotnych do 25 roku życia, w tym szczególnie absolwentów, </w:t>
      </w:r>
    </w:p>
    <w:p w:rsidR="006331F6" w:rsidRPr="001B2353" w:rsidRDefault="006331F6" w:rsidP="004B01EC">
      <w:pPr>
        <w:pStyle w:val="Default"/>
        <w:numPr>
          <w:ilvl w:val="0"/>
          <w:numId w:val="39"/>
        </w:numPr>
        <w:spacing w:line="360" w:lineRule="auto"/>
        <w:ind w:left="714" w:hanging="357"/>
        <w:jc w:val="both"/>
        <w:rPr>
          <w:rFonts w:asciiTheme="minorHAnsi" w:hAnsiTheme="minorHAnsi"/>
          <w:color w:val="auto"/>
          <w:sz w:val="22"/>
          <w:szCs w:val="22"/>
        </w:rPr>
      </w:pPr>
      <w:r w:rsidRPr="001B2353">
        <w:rPr>
          <w:rFonts w:asciiTheme="minorHAnsi" w:hAnsiTheme="minorHAnsi"/>
          <w:color w:val="auto"/>
          <w:sz w:val="22"/>
          <w:szCs w:val="22"/>
        </w:rPr>
        <w:t xml:space="preserve">osoby w starszych grupach wiekowych tj. powyżej 50 lat, </w:t>
      </w:r>
    </w:p>
    <w:p w:rsidR="002033D4" w:rsidRPr="001B2353" w:rsidRDefault="002033D4" w:rsidP="004B01EC">
      <w:pPr>
        <w:pStyle w:val="Default"/>
        <w:numPr>
          <w:ilvl w:val="0"/>
          <w:numId w:val="39"/>
        </w:numPr>
        <w:spacing w:line="360" w:lineRule="auto"/>
        <w:ind w:left="714" w:hanging="357"/>
        <w:jc w:val="both"/>
        <w:rPr>
          <w:rFonts w:asciiTheme="minorHAnsi" w:hAnsiTheme="minorHAnsi"/>
          <w:color w:val="auto"/>
          <w:sz w:val="22"/>
          <w:szCs w:val="22"/>
        </w:rPr>
      </w:pPr>
      <w:r w:rsidRPr="001B2353">
        <w:rPr>
          <w:rFonts w:asciiTheme="minorHAnsi" w:hAnsiTheme="minorHAnsi"/>
          <w:color w:val="auto"/>
          <w:sz w:val="22"/>
          <w:szCs w:val="22"/>
        </w:rPr>
        <w:t xml:space="preserve">długotrwale bezrobotnych oraz kobiety, które nie podjęły zatrudnienia po urodzeniu dziecka, </w:t>
      </w:r>
    </w:p>
    <w:p w:rsidR="002033D4" w:rsidRPr="001B2353" w:rsidRDefault="002033D4" w:rsidP="004B01EC">
      <w:pPr>
        <w:pStyle w:val="Default"/>
        <w:numPr>
          <w:ilvl w:val="0"/>
          <w:numId w:val="39"/>
        </w:numPr>
        <w:spacing w:line="360" w:lineRule="auto"/>
        <w:ind w:left="714" w:hanging="357"/>
        <w:jc w:val="both"/>
        <w:rPr>
          <w:rFonts w:asciiTheme="minorHAnsi" w:hAnsiTheme="minorHAnsi"/>
          <w:color w:val="auto"/>
          <w:sz w:val="22"/>
          <w:szCs w:val="22"/>
        </w:rPr>
      </w:pPr>
      <w:r w:rsidRPr="001B2353">
        <w:rPr>
          <w:rFonts w:asciiTheme="minorHAnsi" w:hAnsiTheme="minorHAnsi"/>
          <w:color w:val="auto"/>
          <w:sz w:val="22"/>
          <w:szCs w:val="22"/>
        </w:rPr>
        <w:t xml:space="preserve">bezrobotnych bez kwalifikacji zawodowych i bez doświadczenia zawodowego, </w:t>
      </w:r>
    </w:p>
    <w:p w:rsidR="002033D4" w:rsidRPr="001B2353" w:rsidRDefault="002033D4" w:rsidP="004B01EC">
      <w:pPr>
        <w:pStyle w:val="Default"/>
        <w:numPr>
          <w:ilvl w:val="0"/>
          <w:numId w:val="39"/>
        </w:numPr>
        <w:spacing w:line="360" w:lineRule="auto"/>
        <w:ind w:left="714" w:hanging="357"/>
        <w:jc w:val="both"/>
        <w:rPr>
          <w:rFonts w:asciiTheme="minorHAnsi" w:hAnsiTheme="minorHAnsi"/>
          <w:color w:val="auto"/>
          <w:sz w:val="22"/>
          <w:szCs w:val="22"/>
        </w:rPr>
      </w:pPr>
      <w:r w:rsidRPr="001B2353">
        <w:rPr>
          <w:rFonts w:asciiTheme="minorHAnsi" w:hAnsiTheme="minorHAnsi"/>
          <w:color w:val="auto"/>
          <w:sz w:val="22"/>
          <w:szCs w:val="22"/>
        </w:rPr>
        <w:t xml:space="preserve">bezrobotnych samotnie wychowujących co najmniej jedno dziecko do 18 roku życia,  </w:t>
      </w:r>
    </w:p>
    <w:p w:rsidR="002033D4" w:rsidRPr="001B2353" w:rsidRDefault="002033D4" w:rsidP="004B01EC">
      <w:pPr>
        <w:pStyle w:val="Default"/>
        <w:numPr>
          <w:ilvl w:val="0"/>
          <w:numId w:val="39"/>
        </w:numPr>
        <w:spacing w:line="360" w:lineRule="auto"/>
        <w:ind w:left="714" w:hanging="357"/>
        <w:jc w:val="both"/>
        <w:rPr>
          <w:rFonts w:asciiTheme="minorHAnsi" w:hAnsiTheme="minorHAnsi"/>
          <w:color w:val="auto"/>
          <w:sz w:val="22"/>
          <w:szCs w:val="22"/>
        </w:rPr>
      </w:pPr>
      <w:r w:rsidRPr="001B2353">
        <w:rPr>
          <w:rFonts w:asciiTheme="minorHAnsi" w:hAnsiTheme="minorHAnsi"/>
          <w:color w:val="auto"/>
          <w:sz w:val="22"/>
          <w:szCs w:val="22"/>
        </w:rPr>
        <w:t>bezrobotne osoby niepełnosprawne</w:t>
      </w:r>
      <w:r w:rsidR="00627E88" w:rsidRPr="001B2353">
        <w:rPr>
          <w:rFonts w:asciiTheme="minorHAnsi" w:hAnsiTheme="minorHAnsi"/>
          <w:color w:val="auto"/>
          <w:sz w:val="22"/>
          <w:szCs w:val="22"/>
        </w:rPr>
        <w:t>.</w:t>
      </w:r>
      <w:r w:rsidRPr="001B2353">
        <w:rPr>
          <w:rFonts w:asciiTheme="minorHAnsi" w:hAnsiTheme="minorHAnsi"/>
          <w:color w:val="auto"/>
          <w:sz w:val="22"/>
          <w:szCs w:val="22"/>
        </w:rPr>
        <w:t xml:space="preserve">  </w:t>
      </w:r>
    </w:p>
    <w:p w:rsidR="005B39B7" w:rsidRPr="001B2353" w:rsidRDefault="00A12BA4" w:rsidP="004B01EC">
      <w:pPr>
        <w:pStyle w:val="Default"/>
        <w:spacing w:line="360" w:lineRule="auto"/>
        <w:ind w:firstLine="357"/>
        <w:jc w:val="both"/>
        <w:rPr>
          <w:rFonts w:asciiTheme="minorHAnsi" w:hAnsiTheme="minorHAnsi"/>
          <w:color w:val="auto"/>
          <w:sz w:val="22"/>
          <w:szCs w:val="22"/>
        </w:rPr>
      </w:pPr>
      <w:r w:rsidRPr="001B2353">
        <w:rPr>
          <w:rFonts w:asciiTheme="minorHAnsi" w:hAnsiTheme="minorHAnsi"/>
          <w:color w:val="auto"/>
          <w:sz w:val="22"/>
          <w:szCs w:val="22"/>
        </w:rPr>
        <w:tab/>
      </w:r>
      <w:r w:rsidR="005B39B7" w:rsidRPr="001B2353">
        <w:rPr>
          <w:rFonts w:asciiTheme="minorHAnsi" w:hAnsiTheme="minorHAnsi"/>
          <w:color w:val="auto"/>
          <w:sz w:val="22"/>
          <w:szCs w:val="22"/>
        </w:rPr>
        <w:t xml:space="preserve">Adresatami działań polityki rynku pracy będą także osoby poszukujące pracy, w tym zwłaszcza wspierane poprzez kształcenie ustawiczne, umożliwiające podwyższanie ich kwalifikacji zawodowych </w:t>
      </w:r>
      <w:r w:rsidRPr="001B2353">
        <w:rPr>
          <w:rFonts w:asciiTheme="minorHAnsi" w:hAnsiTheme="minorHAnsi"/>
          <w:color w:val="auto"/>
          <w:sz w:val="22"/>
          <w:szCs w:val="22"/>
        </w:rPr>
        <w:br/>
      </w:r>
      <w:r w:rsidR="005B39B7" w:rsidRPr="001B2353">
        <w:rPr>
          <w:rFonts w:asciiTheme="minorHAnsi" w:hAnsiTheme="minorHAnsi"/>
          <w:color w:val="auto"/>
          <w:sz w:val="22"/>
          <w:szCs w:val="22"/>
        </w:rPr>
        <w:t xml:space="preserve">i kompetencji. </w:t>
      </w:r>
    </w:p>
    <w:p w:rsidR="005B39B7" w:rsidRDefault="00A12BA4" w:rsidP="004B01EC">
      <w:pPr>
        <w:pStyle w:val="Default"/>
        <w:spacing w:line="360" w:lineRule="auto"/>
        <w:ind w:firstLine="357"/>
        <w:jc w:val="both"/>
        <w:rPr>
          <w:rFonts w:asciiTheme="minorHAnsi" w:hAnsiTheme="minorHAnsi"/>
          <w:color w:val="auto"/>
          <w:sz w:val="22"/>
          <w:szCs w:val="22"/>
        </w:rPr>
      </w:pPr>
      <w:r w:rsidRPr="001B2353">
        <w:rPr>
          <w:rFonts w:asciiTheme="minorHAnsi" w:hAnsiTheme="minorHAnsi"/>
          <w:color w:val="auto"/>
          <w:sz w:val="22"/>
          <w:szCs w:val="22"/>
        </w:rPr>
        <w:tab/>
      </w:r>
      <w:r w:rsidR="005B39B7" w:rsidRPr="001B2353">
        <w:rPr>
          <w:rFonts w:asciiTheme="minorHAnsi" w:hAnsiTheme="minorHAnsi"/>
          <w:color w:val="auto"/>
          <w:sz w:val="22"/>
          <w:szCs w:val="22"/>
        </w:rPr>
        <w:t xml:space="preserve">Ważnym wsparciem regionalnej polityki rynku pracy w Regionie będzie kontynuowanie wdrażania Programu Operacyjnego Kapitał Ludzki na lata 2007-2013 w komponencie regionalnym. Realizacja komponentu regionalnego skierowana jest do osób i grup społecznych w takich obszarach jak: zatrudnienie, edukacja, integracja społeczna, rozwój potencjału adaptacyjnego pracowników i przedsiębiorstw, a także zagadnienia związane z rozwojem zasobów ludzkich na terenach wiejskich. </w:t>
      </w:r>
      <w:r w:rsidR="00B068F5">
        <w:rPr>
          <w:rFonts w:asciiTheme="minorHAnsi" w:hAnsiTheme="minorHAnsi"/>
          <w:color w:val="auto"/>
          <w:sz w:val="22"/>
          <w:szCs w:val="22"/>
        </w:rPr>
        <w:t>Natomiast Program Operacyjny Wiedza Edukacja Rozwój</w:t>
      </w:r>
      <w:r w:rsidR="00BB750D">
        <w:rPr>
          <w:rFonts w:asciiTheme="minorHAnsi" w:hAnsiTheme="minorHAnsi"/>
          <w:color w:val="auto"/>
          <w:sz w:val="22"/>
          <w:szCs w:val="22"/>
        </w:rPr>
        <w:t xml:space="preserve"> </w:t>
      </w:r>
      <w:r w:rsidR="00031F5F">
        <w:rPr>
          <w:rFonts w:asciiTheme="minorHAnsi" w:hAnsiTheme="minorHAnsi"/>
          <w:color w:val="auto"/>
          <w:sz w:val="22"/>
          <w:szCs w:val="22"/>
        </w:rPr>
        <w:t xml:space="preserve"> 2014-2020 </w:t>
      </w:r>
      <w:r w:rsidR="00BB750D">
        <w:rPr>
          <w:rFonts w:asciiTheme="minorHAnsi" w:hAnsiTheme="minorHAnsi"/>
          <w:color w:val="auto"/>
          <w:sz w:val="22"/>
          <w:szCs w:val="22"/>
        </w:rPr>
        <w:t xml:space="preserve">z nowej pespektywy finansowej </w:t>
      </w:r>
      <w:r w:rsidR="00031F5F">
        <w:rPr>
          <w:rFonts w:asciiTheme="minorHAnsi" w:hAnsiTheme="minorHAnsi"/>
          <w:color w:val="auto"/>
          <w:sz w:val="22"/>
          <w:szCs w:val="22"/>
        </w:rPr>
        <w:t>stanowi odpowiedź na wyzwania i </w:t>
      </w:r>
      <w:r w:rsidR="00B068F5">
        <w:rPr>
          <w:rFonts w:asciiTheme="minorHAnsi" w:hAnsiTheme="minorHAnsi"/>
          <w:color w:val="auto"/>
          <w:sz w:val="22"/>
          <w:szCs w:val="22"/>
        </w:rPr>
        <w:t>jednocześnie instrument realizacji Strategii Europa 2020. Program uwzględnia stojące przed regionem długofalowe wyzwania związane z globalizacją, rozwojem ekonomicznym, jakością polityk publicznych, zjawiskami demogra</w:t>
      </w:r>
      <w:r w:rsidR="00BB750D">
        <w:rPr>
          <w:rFonts w:asciiTheme="minorHAnsi" w:hAnsiTheme="minorHAnsi"/>
          <w:color w:val="auto"/>
          <w:sz w:val="22"/>
          <w:szCs w:val="22"/>
        </w:rPr>
        <w:t>ficznymi, czy inwestycjami w </w:t>
      </w:r>
      <w:r w:rsidR="00B068F5">
        <w:rPr>
          <w:rFonts w:asciiTheme="minorHAnsi" w:hAnsiTheme="minorHAnsi"/>
          <w:color w:val="auto"/>
          <w:sz w:val="22"/>
          <w:szCs w:val="22"/>
        </w:rPr>
        <w:t>kapitał ludzki</w:t>
      </w:r>
      <w:r w:rsidR="00BB750D">
        <w:rPr>
          <w:rFonts w:asciiTheme="minorHAnsi" w:hAnsiTheme="minorHAnsi"/>
          <w:color w:val="auto"/>
          <w:sz w:val="22"/>
          <w:szCs w:val="22"/>
        </w:rPr>
        <w:t>. Główne obszary działań to:</w:t>
      </w:r>
    </w:p>
    <w:p w:rsidR="00BB750D" w:rsidRDefault="00BB750D" w:rsidP="00BB750D">
      <w:pPr>
        <w:pStyle w:val="Default"/>
        <w:numPr>
          <w:ilvl w:val="0"/>
          <w:numId w:val="47"/>
        </w:numPr>
        <w:spacing w:line="360" w:lineRule="auto"/>
        <w:jc w:val="both"/>
        <w:rPr>
          <w:rFonts w:asciiTheme="minorHAnsi" w:hAnsiTheme="minorHAnsi"/>
          <w:color w:val="auto"/>
          <w:sz w:val="22"/>
          <w:szCs w:val="22"/>
        </w:rPr>
      </w:pPr>
      <w:r>
        <w:rPr>
          <w:rFonts w:asciiTheme="minorHAnsi" w:hAnsiTheme="minorHAnsi"/>
          <w:color w:val="auto"/>
          <w:sz w:val="22"/>
          <w:szCs w:val="22"/>
        </w:rPr>
        <w:t>monitorowanie potrzeb i zjawisk na rynku pracy,</w:t>
      </w:r>
    </w:p>
    <w:p w:rsidR="00BB750D" w:rsidRDefault="00BB750D" w:rsidP="00BB750D">
      <w:pPr>
        <w:pStyle w:val="Default"/>
        <w:numPr>
          <w:ilvl w:val="0"/>
          <w:numId w:val="47"/>
        </w:numPr>
        <w:spacing w:line="360" w:lineRule="auto"/>
        <w:jc w:val="both"/>
        <w:rPr>
          <w:rFonts w:asciiTheme="minorHAnsi" w:hAnsiTheme="minorHAnsi"/>
          <w:color w:val="auto"/>
          <w:sz w:val="22"/>
          <w:szCs w:val="22"/>
        </w:rPr>
      </w:pPr>
      <w:r>
        <w:rPr>
          <w:rFonts w:asciiTheme="minorHAnsi" w:hAnsiTheme="minorHAnsi"/>
          <w:color w:val="auto"/>
          <w:sz w:val="22"/>
          <w:szCs w:val="22"/>
        </w:rPr>
        <w:t>tworzenie i wdrażanie (bardziej efektywnych i dopasowanych do zmieniających się potrzeb) instrumentów aktywnej polityki rynku pracy,</w:t>
      </w:r>
    </w:p>
    <w:p w:rsidR="00BB750D" w:rsidRDefault="00BB750D" w:rsidP="00BB750D">
      <w:pPr>
        <w:pStyle w:val="Default"/>
        <w:numPr>
          <w:ilvl w:val="0"/>
          <w:numId w:val="47"/>
        </w:numPr>
        <w:spacing w:line="360" w:lineRule="auto"/>
        <w:jc w:val="both"/>
        <w:rPr>
          <w:rFonts w:asciiTheme="minorHAnsi" w:hAnsiTheme="minorHAnsi"/>
          <w:color w:val="auto"/>
          <w:sz w:val="22"/>
          <w:szCs w:val="22"/>
        </w:rPr>
      </w:pPr>
      <w:r>
        <w:rPr>
          <w:rFonts w:asciiTheme="minorHAnsi" w:hAnsiTheme="minorHAnsi"/>
          <w:color w:val="auto"/>
          <w:sz w:val="22"/>
          <w:szCs w:val="22"/>
        </w:rPr>
        <w:t>zwiększenie efektywności instytucjonalnej PSZ,</w:t>
      </w:r>
    </w:p>
    <w:p w:rsidR="00BB750D" w:rsidRPr="001B2353" w:rsidRDefault="00BB750D" w:rsidP="00BB750D">
      <w:pPr>
        <w:pStyle w:val="Default"/>
        <w:numPr>
          <w:ilvl w:val="0"/>
          <w:numId w:val="47"/>
        </w:numPr>
        <w:spacing w:line="360" w:lineRule="auto"/>
        <w:jc w:val="both"/>
        <w:rPr>
          <w:rFonts w:asciiTheme="minorHAnsi" w:hAnsiTheme="minorHAnsi"/>
          <w:color w:val="auto"/>
          <w:sz w:val="22"/>
          <w:szCs w:val="22"/>
        </w:rPr>
      </w:pPr>
      <w:r>
        <w:rPr>
          <w:rFonts w:asciiTheme="minorHAnsi" w:hAnsiTheme="minorHAnsi"/>
          <w:color w:val="auto"/>
          <w:sz w:val="22"/>
          <w:szCs w:val="22"/>
        </w:rPr>
        <w:t>wspieranie tworzenia lokalnych sieci współpracy.</w:t>
      </w:r>
    </w:p>
    <w:p w:rsidR="005B39B7" w:rsidRPr="001B2353" w:rsidRDefault="005B39B7" w:rsidP="004B01EC">
      <w:pPr>
        <w:pStyle w:val="Default"/>
        <w:spacing w:line="360" w:lineRule="auto"/>
        <w:ind w:firstLine="708"/>
        <w:jc w:val="both"/>
        <w:rPr>
          <w:rFonts w:asciiTheme="minorHAnsi" w:hAnsiTheme="minorHAnsi"/>
          <w:color w:val="auto"/>
          <w:sz w:val="22"/>
          <w:szCs w:val="22"/>
        </w:rPr>
      </w:pPr>
      <w:r w:rsidRPr="001B2353">
        <w:rPr>
          <w:rFonts w:asciiTheme="minorHAnsi" w:hAnsiTheme="minorHAnsi"/>
          <w:color w:val="auto"/>
          <w:sz w:val="22"/>
          <w:szCs w:val="22"/>
        </w:rPr>
        <w:t>Adresatami działań polityki rynku pracy i rozwoju zasobów ludzkich będą wszystkie osoby, posiadające status beneficjentów, określony przez ustawę o promocji zatrudnienia, ustawę o rehabilitacji zawodowej i społecznej osób niepełnosprawnych oraz przez Pro</w:t>
      </w:r>
      <w:r w:rsidR="00BB750D">
        <w:rPr>
          <w:rFonts w:asciiTheme="minorHAnsi" w:hAnsiTheme="minorHAnsi"/>
          <w:color w:val="auto"/>
          <w:sz w:val="22"/>
          <w:szCs w:val="22"/>
        </w:rPr>
        <w:t>gram Operacyjny Kapitał Ludzki.</w:t>
      </w:r>
    </w:p>
    <w:p w:rsidR="005B39B7" w:rsidRPr="001B2353" w:rsidRDefault="005B39B7" w:rsidP="004B01EC">
      <w:pPr>
        <w:pStyle w:val="Default"/>
        <w:spacing w:line="360" w:lineRule="auto"/>
        <w:jc w:val="both"/>
        <w:rPr>
          <w:rFonts w:asciiTheme="minorHAnsi" w:hAnsiTheme="minorHAnsi"/>
          <w:color w:val="auto"/>
          <w:sz w:val="22"/>
          <w:szCs w:val="22"/>
        </w:rPr>
      </w:pPr>
      <w:r w:rsidRPr="001B2353">
        <w:rPr>
          <w:rFonts w:asciiTheme="minorHAnsi" w:hAnsiTheme="minorHAnsi"/>
          <w:color w:val="auto"/>
          <w:sz w:val="22"/>
          <w:szCs w:val="22"/>
        </w:rPr>
        <w:t>W realizacji Dolnośląskiego Regionalnego Planu Działań na Rzecz Zatrudnienia w 201</w:t>
      </w:r>
      <w:r w:rsidR="006563E4" w:rsidRPr="001B2353">
        <w:rPr>
          <w:rFonts w:asciiTheme="minorHAnsi" w:hAnsiTheme="minorHAnsi"/>
          <w:color w:val="auto"/>
          <w:sz w:val="22"/>
          <w:szCs w:val="22"/>
        </w:rPr>
        <w:t>4</w:t>
      </w:r>
      <w:r w:rsidRPr="001B2353">
        <w:rPr>
          <w:rFonts w:asciiTheme="minorHAnsi" w:hAnsiTheme="minorHAnsi"/>
          <w:color w:val="auto"/>
          <w:sz w:val="22"/>
          <w:szCs w:val="22"/>
        </w:rPr>
        <w:t xml:space="preserve"> roku mogą wystąpić zagrożenia związane zwłaszcza z: </w:t>
      </w:r>
    </w:p>
    <w:p w:rsidR="00CE78EF" w:rsidRPr="001B2353" w:rsidRDefault="005B39B7" w:rsidP="004B01EC">
      <w:pPr>
        <w:pStyle w:val="Default"/>
        <w:numPr>
          <w:ilvl w:val="0"/>
          <w:numId w:val="45"/>
        </w:numPr>
        <w:spacing w:line="360" w:lineRule="auto"/>
        <w:jc w:val="both"/>
        <w:rPr>
          <w:rFonts w:asciiTheme="minorHAnsi" w:hAnsiTheme="minorHAnsi"/>
          <w:color w:val="auto"/>
          <w:sz w:val="22"/>
          <w:szCs w:val="22"/>
        </w:rPr>
      </w:pPr>
      <w:r w:rsidRPr="001B2353">
        <w:rPr>
          <w:rFonts w:asciiTheme="minorHAnsi" w:hAnsiTheme="minorHAnsi"/>
          <w:color w:val="auto"/>
          <w:sz w:val="22"/>
          <w:szCs w:val="22"/>
        </w:rPr>
        <w:t xml:space="preserve">niekorzystnymi tendencjami w układzie przestrzennym bezrobocia. W </w:t>
      </w:r>
      <w:r w:rsidR="004B01EC" w:rsidRPr="001B2353">
        <w:rPr>
          <w:rFonts w:asciiTheme="minorHAnsi" w:hAnsiTheme="minorHAnsi"/>
          <w:color w:val="auto"/>
          <w:sz w:val="22"/>
          <w:szCs w:val="22"/>
        </w:rPr>
        <w:t>części</w:t>
      </w:r>
      <w:r w:rsidRPr="001B2353">
        <w:rPr>
          <w:rFonts w:asciiTheme="minorHAnsi" w:hAnsiTheme="minorHAnsi"/>
          <w:color w:val="auto"/>
          <w:sz w:val="22"/>
          <w:szCs w:val="22"/>
        </w:rPr>
        <w:t xml:space="preserve"> powiat</w:t>
      </w:r>
      <w:r w:rsidR="004B01EC" w:rsidRPr="001B2353">
        <w:rPr>
          <w:rFonts w:asciiTheme="minorHAnsi" w:hAnsiTheme="minorHAnsi"/>
          <w:color w:val="auto"/>
          <w:sz w:val="22"/>
          <w:szCs w:val="22"/>
        </w:rPr>
        <w:t>ów</w:t>
      </w:r>
      <w:r w:rsidRPr="001B2353">
        <w:rPr>
          <w:rFonts w:asciiTheme="minorHAnsi" w:hAnsiTheme="minorHAnsi"/>
          <w:color w:val="auto"/>
          <w:sz w:val="22"/>
          <w:szCs w:val="22"/>
        </w:rPr>
        <w:t>,</w:t>
      </w:r>
      <w:r w:rsidR="004B01EC" w:rsidRPr="001B2353">
        <w:rPr>
          <w:rFonts w:asciiTheme="minorHAnsi" w:hAnsiTheme="minorHAnsi"/>
          <w:color w:val="auto"/>
          <w:sz w:val="22"/>
          <w:szCs w:val="22"/>
        </w:rPr>
        <w:t xml:space="preserve"> </w:t>
      </w:r>
      <w:r w:rsidRPr="001B2353">
        <w:rPr>
          <w:rFonts w:asciiTheme="minorHAnsi" w:hAnsiTheme="minorHAnsi"/>
          <w:color w:val="auto"/>
          <w:sz w:val="22"/>
          <w:szCs w:val="22"/>
        </w:rPr>
        <w:t xml:space="preserve">z uwagi </w:t>
      </w:r>
      <w:r w:rsidR="00031F5F">
        <w:rPr>
          <w:rFonts w:asciiTheme="minorHAnsi" w:hAnsiTheme="minorHAnsi"/>
          <w:color w:val="auto"/>
          <w:sz w:val="22"/>
          <w:szCs w:val="22"/>
        </w:rPr>
        <w:t xml:space="preserve">na </w:t>
      </w:r>
      <w:r w:rsidRPr="001B2353">
        <w:rPr>
          <w:rFonts w:asciiTheme="minorHAnsi" w:hAnsiTheme="minorHAnsi"/>
          <w:color w:val="auto"/>
          <w:sz w:val="22"/>
          <w:szCs w:val="22"/>
        </w:rPr>
        <w:t xml:space="preserve">uwarunkowania gospodarcze oraz ograniczoną wielkość środków na aktywne programy rynku pracy </w:t>
      </w:r>
      <w:r w:rsidRPr="001B2353">
        <w:rPr>
          <w:rFonts w:asciiTheme="minorHAnsi" w:hAnsiTheme="minorHAnsi"/>
          <w:color w:val="auto"/>
          <w:sz w:val="22"/>
          <w:szCs w:val="22"/>
        </w:rPr>
        <w:lastRenderedPageBreak/>
        <w:t>skala z</w:t>
      </w:r>
      <w:r w:rsidR="00031F5F">
        <w:rPr>
          <w:rFonts w:asciiTheme="minorHAnsi" w:hAnsiTheme="minorHAnsi"/>
          <w:color w:val="auto"/>
          <w:sz w:val="22"/>
          <w:szCs w:val="22"/>
        </w:rPr>
        <w:t>większenia</w:t>
      </w:r>
      <w:r w:rsidRPr="001B2353">
        <w:rPr>
          <w:rFonts w:asciiTheme="minorHAnsi" w:hAnsiTheme="minorHAnsi"/>
          <w:color w:val="auto"/>
          <w:sz w:val="22"/>
          <w:szCs w:val="22"/>
        </w:rPr>
        <w:t xml:space="preserve"> stopy bezrobocia może być szybsza ni</w:t>
      </w:r>
      <w:r w:rsidR="00D12284">
        <w:rPr>
          <w:rFonts w:asciiTheme="minorHAnsi" w:hAnsiTheme="minorHAnsi"/>
          <w:color w:val="auto"/>
          <w:sz w:val="22"/>
          <w:szCs w:val="22"/>
        </w:rPr>
        <w:t>ż przeciętnie w skali kraju i w </w:t>
      </w:r>
      <w:r w:rsidRPr="001B2353">
        <w:rPr>
          <w:rFonts w:asciiTheme="minorHAnsi" w:hAnsiTheme="minorHAnsi"/>
          <w:color w:val="auto"/>
          <w:sz w:val="22"/>
          <w:szCs w:val="22"/>
        </w:rPr>
        <w:t xml:space="preserve">województwie, </w:t>
      </w:r>
    </w:p>
    <w:p w:rsidR="00CE78EF" w:rsidRPr="001B2353" w:rsidRDefault="005B39B7" w:rsidP="004B01EC">
      <w:pPr>
        <w:pStyle w:val="Default"/>
        <w:numPr>
          <w:ilvl w:val="0"/>
          <w:numId w:val="45"/>
        </w:numPr>
        <w:spacing w:line="360" w:lineRule="auto"/>
        <w:jc w:val="both"/>
        <w:rPr>
          <w:rFonts w:asciiTheme="minorHAnsi" w:hAnsiTheme="minorHAnsi"/>
          <w:color w:val="auto"/>
          <w:sz w:val="22"/>
          <w:szCs w:val="22"/>
        </w:rPr>
      </w:pPr>
      <w:r w:rsidRPr="001B2353">
        <w:rPr>
          <w:rFonts w:asciiTheme="minorHAnsi" w:hAnsiTheme="minorHAnsi"/>
          <w:color w:val="auto"/>
          <w:sz w:val="22"/>
          <w:szCs w:val="22"/>
        </w:rPr>
        <w:t xml:space="preserve">niekorzystną strukturą bezrobotnych - nadal duży odsetek w ogólnej liczbie bezrobotnych stanowią długotrwale bezrobotni, osoby bez kwalifikacji, osoby powyżej 50 roku życia, </w:t>
      </w:r>
    </w:p>
    <w:p w:rsidR="00CE78EF" w:rsidRPr="001B2353" w:rsidRDefault="005B39B7" w:rsidP="004B01EC">
      <w:pPr>
        <w:pStyle w:val="Default"/>
        <w:numPr>
          <w:ilvl w:val="0"/>
          <w:numId w:val="45"/>
        </w:numPr>
        <w:spacing w:line="360" w:lineRule="auto"/>
        <w:jc w:val="both"/>
        <w:rPr>
          <w:rFonts w:asciiTheme="minorHAnsi" w:hAnsiTheme="minorHAnsi"/>
          <w:color w:val="auto"/>
          <w:sz w:val="22"/>
          <w:szCs w:val="22"/>
        </w:rPr>
      </w:pPr>
      <w:r w:rsidRPr="001B2353">
        <w:rPr>
          <w:rFonts w:asciiTheme="minorHAnsi" w:hAnsiTheme="minorHAnsi"/>
          <w:color w:val="auto"/>
          <w:sz w:val="22"/>
          <w:szCs w:val="22"/>
        </w:rPr>
        <w:t>wzrostem poziomu bezrobocia wśród ludzi młodych - trudności ze znalezieniem pracy mogą mieć absolwenci, zwłaszcza zamieszkali na wsi</w:t>
      </w:r>
      <w:r w:rsidR="00D214B5" w:rsidRPr="001B2353">
        <w:rPr>
          <w:rFonts w:asciiTheme="minorHAnsi" w:hAnsiTheme="minorHAnsi"/>
          <w:color w:val="auto"/>
          <w:sz w:val="22"/>
          <w:szCs w:val="22"/>
        </w:rPr>
        <w:t>.</w:t>
      </w:r>
      <w:r w:rsidRPr="001B2353">
        <w:rPr>
          <w:rFonts w:asciiTheme="minorHAnsi" w:hAnsiTheme="minorHAnsi"/>
          <w:color w:val="auto"/>
          <w:sz w:val="22"/>
          <w:szCs w:val="22"/>
        </w:rPr>
        <w:t xml:space="preserve"> </w:t>
      </w:r>
    </w:p>
    <w:p w:rsidR="002033D4" w:rsidRPr="001B2353" w:rsidRDefault="00CE78EF" w:rsidP="004B01EC">
      <w:pPr>
        <w:pStyle w:val="Default"/>
        <w:spacing w:line="360" w:lineRule="auto"/>
        <w:jc w:val="both"/>
        <w:rPr>
          <w:rFonts w:asciiTheme="minorHAnsi" w:hAnsiTheme="minorHAnsi"/>
          <w:color w:val="auto"/>
          <w:sz w:val="22"/>
          <w:szCs w:val="22"/>
        </w:rPr>
      </w:pPr>
      <w:r w:rsidRPr="001B2353">
        <w:rPr>
          <w:rFonts w:asciiTheme="minorHAnsi" w:hAnsiTheme="minorHAnsi"/>
          <w:color w:val="auto"/>
          <w:sz w:val="22"/>
          <w:szCs w:val="22"/>
        </w:rPr>
        <w:tab/>
      </w:r>
      <w:r w:rsidR="007C23FD" w:rsidRPr="001B2353">
        <w:rPr>
          <w:rFonts w:asciiTheme="minorHAnsi" w:hAnsiTheme="minorHAnsi"/>
          <w:color w:val="auto"/>
          <w:sz w:val="22"/>
          <w:szCs w:val="22"/>
        </w:rPr>
        <w:t>W</w:t>
      </w:r>
      <w:r w:rsidR="002033D4" w:rsidRPr="001B2353">
        <w:rPr>
          <w:rFonts w:asciiTheme="minorHAnsi" w:hAnsiTheme="minorHAnsi"/>
          <w:color w:val="auto"/>
          <w:sz w:val="22"/>
          <w:szCs w:val="22"/>
        </w:rPr>
        <w:t xml:space="preserve"> załączniku nr 1 do Dolnośląskiego Regionalnego Planu Działań na Rzecz Zatrudnienia na 201</w:t>
      </w:r>
      <w:r w:rsidR="009F051F" w:rsidRPr="001B2353">
        <w:rPr>
          <w:rFonts w:asciiTheme="minorHAnsi" w:hAnsiTheme="minorHAnsi"/>
          <w:color w:val="auto"/>
          <w:sz w:val="22"/>
          <w:szCs w:val="22"/>
        </w:rPr>
        <w:t>4</w:t>
      </w:r>
      <w:r w:rsidR="002033D4" w:rsidRPr="001B2353">
        <w:rPr>
          <w:rFonts w:asciiTheme="minorHAnsi" w:hAnsiTheme="minorHAnsi"/>
          <w:color w:val="auto"/>
          <w:sz w:val="22"/>
          <w:szCs w:val="22"/>
        </w:rPr>
        <w:t xml:space="preserve"> rok przedstawiono zadania i projekty na rzecz zatrudnienia, które</w:t>
      </w:r>
      <w:r w:rsidR="008C4267" w:rsidRPr="001B2353">
        <w:rPr>
          <w:rFonts w:asciiTheme="minorHAnsi" w:hAnsiTheme="minorHAnsi"/>
          <w:color w:val="auto"/>
          <w:sz w:val="22"/>
          <w:szCs w:val="22"/>
        </w:rPr>
        <w:t xml:space="preserve"> zostały </w:t>
      </w:r>
      <w:r w:rsidR="002033D4" w:rsidRPr="001B2353">
        <w:rPr>
          <w:rFonts w:asciiTheme="minorHAnsi" w:hAnsiTheme="minorHAnsi"/>
          <w:color w:val="auto"/>
          <w:sz w:val="22"/>
          <w:szCs w:val="22"/>
        </w:rPr>
        <w:t>zgłoszon</w:t>
      </w:r>
      <w:r w:rsidR="008C4267" w:rsidRPr="001B2353">
        <w:rPr>
          <w:rFonts w:asciiTheme="minorHAnsi" w:hAnsiTheme="minorHAnsi"/>
          <w:color w:val="auto"/>
          <w:sz w:val="22"/>
          <w:szCs w:val="22"/>
        </w:rPr>
        <w:t>e</w:t>
      </w:r>
      <w:r w:rsidR="002033D4" w:rsidRPr="001B2353">
        <w:rPr>
          <w:rFonts w:asciiTheme="minorHAnsi" w:hAnsiTheme="minorHAnsi"/>
          <w:color w:val="auto"/>
          <w:sz w:val="22"/>
          <w:szCs w:val="22"/>
        </w:rPr>
        <w:t xml:space="preserve"> </w:t>
      </w:r>
      <w:r w:rsidR="004D099F" w:rsidRPr="001B2353">
        <w:rPr>
          <w:rFonts w:asciiTheme="minorHAnsi" w:hAnsiTheme="minorHAnsi"/>
          <w:color w:val="auto"/>
          <w:sz w:val="22"/>
          <w:szCs w:val="22"/>
        </w:rPr>
        <w:t xml:space="preserve">przez </w:t>
      </w:r>
      <w:r w:rsidR="002033D4" w:rsidRPr="001B2353">
        <w:rPr>
          <w:rFonts w:asciiTheme="minorHAnsi" w:hAnsiTheme="minorHAnsi"/>
          <w:color w:val="auto"/>
          <w:sz w:val="22"/>
          <w:szCs w:val="22"/>
        </w:rPr>
        <w:t>powiatow</w:t>
      </w:r>
      <w:r w:rsidR="004D099F" w:rsidRPr="001B2353">
        <w:rPr>
          <w:rFonts w:asciiTheme="minorHAnsi" w:hAnsiTheme="minorHAnsi"/>
          <w:color w:val="auto"/>
          <w:sz w:val="22"/>
          <w:szCs w:val="22"/>
        </w:rPr>
        <w:t>e</w:t>
      </w:r>
      <w:r w:rsidR="002033D4" w:rsidRPr="001B2353">
        <w:rPr>
          <w:rFonts w:asciiTheme="minorHAnsi" w:hAnsiTheme="minorHAnsi"/>
          <w:color w:val="auto"/>
          <w:sz w:val="22"/>
          <w:szCs w:val="22"/>
        </w:rPr>
        <w:t xml:space="preserve"> urzęd</w:t>
      </w:r>
      <w:r w:rsidR="004D099F" w:rsidRPr="001B2353">
        <w:rPr>
          <w:rFonts w:asciiTheme="minorHAnsi" w:hAnsiTheme="minorHAnsi"/>
          <w:color w:val="auto"/>
          <w:sz w:val="22"/>
          <w:szCs w:val="22"/>
        </w:rPr>
        <w:t>y</w:t>
      </w:r>
      <w:r w:rsidR="002033D4" w:rsidRPr="001B2353">
        <w:rPr>
          <w:rFonts w:asciiTheme="minorHAnsi" w:hAnsiTheme="minorHAnsi"/>
          <w:color w:val="auto"/>
          <w:sz w:val="22"/>
          <w:szCs w:val="22"/>
        </w:rPr>
        <w:t xml:space="preserve"> pracy oraz partner</w:t>
      </w:r>
      <w:r w:rsidR="004D099F" w:rsidRPr="001B2353">
        <w:rPr>
          <w:rFonts w:asciiTheme="minorHAnsi" w:hAnsiTheme="minorHAnsi"/>
          <w:color w:val="auto"/>
          <w:sz w:val="22"/>
          <w:szCs w:val="22"/>
        </w:rPr>
        <w:t xml:space="preserve">ów </w:t>
      </w:r>
      <w:r w:rsidR="002033D4" w:rsidRPr="001B2353">
        <w:rPr>
          <w:rFonts w:asciiTheme="minorHAnsi" w:hAnsiTheme="minorHAnsi"/>
          <w:color w:val="auto"/>
          <w:sz w:val="22"/>
          <w:szCs w:val="22"/>
        </w:rPr>
        <w:t>rynku pracy z terenu województwa dolnośląskiego. Zadania te wprowadzono na podstawie</w:t>
      </w:r>
      <w:r w:rsidR="002D0487" w:rsidRPr="001B2353">
        <w:rPr>
          <w:rFonts w:asciiTheme="minorHAnsi" w:hAnsiTheme="minorHAnsi"/>
          <w:color w:val="auto"/>
          <w:sz w:val="22"/>
          <w:szCs w:val="22"/>
        </w:rPr>
        <w:t xml:space="preserve"> zgłoszonej</w:t>
      </w:r>
      <w:r w:rsidR="002033D4" w:rsidRPr="001B2353">
        <w:rPr>
          <w:rFonts w:asciiTheme="minorHAnsi" w:hAnsiTheme="minorHAnsi"/>
          <w:color w:val="auto"/>
          <w:sz w:val="22"/>
          <w:szCs w:val="22"/>
        </w:rPr>
        <w:t xml:space="preserve"> „Karty zadania do Dolnośląskiego Regionalnego Planu Działań na Rzecz Zatrudnienia na 201</w:t>
      </w:r>
      <w:r w:rsidR="009F051F" w:rsidRPr="001B2353">
        <w:rPr>
          <w:rFonts w:asciiTheme="minorHAnsi" w:hAnsiTheme="minorHAnsi"/>
          <w:color w:val="auto"/>
          <w:sz w:val="22"/>
          <w:szCs w:val="22"/>
        </w:rPr>
        <w:t>4</w:t>
      </w:r>
      <w:r w:rsidR="002033D4" w:rsidRPr="001B2353">
        <w:rPr>
          <w:rFonts w:asciiTheme="minorHAnsi" w:hAnsiTheme="minorHAnsi"/>
          <w:color w:val="auto"/>
          <w:sz w:val="22"/>
          <w:szCs w:val="22"/>
        </w:rPr>
        <w:t xml:space="preserve"> rok.” </w:t>
      </w:r>
    </w:p>
    <w:p w:rsidR="00DE0670" w:rsidRPr="001B2353" w:rsidRDefault="001B5049" w:rsidP="004B01EC">
      <w:pPr>
        <w:spacing w:line="360" w:lineRule="auto"/>
        <w:ind w:firstLine="360"/>
        <w:jc w:val="both"/>
        <w:rPr>
          <w:rFonts w:asciiTheme="minorHAnsi" w:hAnsiTheme="minorHAnsi"/>
          <w:sz w:val="22"/>
          <w:szCs w:val="22"/>
          <w:highlight w:val="yellow"/>
        </w:rPr>
      </w:pPr>
      <w:r w:rsidRPr="001B2353">
        <w:rPr>
          <w:rFonts w:asciiTheme="minorHAnsi" w:hAnsiTheme="minorHAnsi"/>
          <w:sz w:val="22"/>
          <w:szCs w:val="22"/>
        </w:rPr>
        <w:tab/>
      </w:r>
      <w:r w:rsidR="002033D4" w:rsidRPr="001B2353">
        <w:rPr>
          <w:rFonts w:asciiTheme="minorHAnsi" w:hAnsiTheme="minorHAnsi"/>
          <w:sz w:val="22"/>
          <w:szCs w:val="22"/>
        </w:rPr>
        <w:t xml:space="preserve">Załącznik obejmuje również </w:t>
      </w:r>
      <w:r w:rsidR="00D45B8D" w:rsidRPr="001B2353">
        <w:rPr>
          <w:rFonts w:asciiTheme="minorHAnsi" w:hAnsiTheme="minorHAnsi"/>
          <w:sz w:val="22"/>
          <w:szCs w:val="22"/>
        </w:rPr>
        <w:t>główne</w:t>
      </w:r>
      <w:r w:rsidR="008C4267" w:rsidRPr="001B2353">
        <w:rPr>
          <w:rFonts w:asciiTheme="minorHAnsi" w:hAnsiTheme="minorHAnsi"/>
          <w:sz w:val="22"/>
          <w:szCs w:val="22"/>
        </w:rPr>
        <w:t xml:space="preserve"> </w:t>
      </w:r>
      <w:r w:rsidR="002033D4" w:rsidRPr="001B2353">
        <w:rPr>
          <w:rFonts w:asciiTheme="minorHAnsi" w:hAnsiTheme="minorHAnsi"/>
          <w:sz w:val="22"/>
          <w:szCs w:val="22"/>
        </w:rPr>
        <w:t xml:space="preserve">zadania realizowane przez Dolnośląski Wojewódzki Urząd Pracy </w:t>
      </w:r>
      <w:r w:rsidR="008C4267" w:rsidRPr="001B2353">
        <w:rPr>
          <w:rFonts w:asciiTheme="minorHAnsi" w:hAnsiTheme="minorHAnsi"/>
          <w:sz w:val="22"/>
          <w:szCs w:val="22"/>
        </w:rPr>
        <w:t>wynikające z</w:t>
      </w:r>
      <w:r w:rsidR="002033D4" w:rsidRPr="001B2353">
        <w:rPr>
          <w:rFonts w:asciiTheme="minorHAnsi" w:hAnsiTheme="minorHAnsi"/>
          <w:sz w:val="22"/>
          <w:szCs w:val="22"/>
        </w:rPr>
        <w:t xml:space="preserve"> ustawy o promocji zatrudnienia i instytucjach rynku pracy oraz </w:t>
      </w:r>
      <w:r w:rsidR="008C4267" w:rsidRPr="001B2353">
        <w:rPr>
          <w:rFonts w:asciiTheme="minorHAnsi" w:hAnsiTheme="minorHAnsi"/>
          <w:sz w:val="22"/>
          <w:szCs w:val="22"/>
        </w:rPr>
        <w:t xml:space="preserve">zadania określone w </w:t>
      </w:r>
      <w:r w:rsidR="002033D4" w:rsidRPr="001B2353">
        <w:rPr>
          <w:rFonts w:asciiTheme="minorHAnsi" w:hAnsiTheme="minorHAnsi"/>
          <w:sz w:val="22"/>
          <w:szCs w:val="22"/>
        </w:rPr>
        <w:t>Plan</w:t>
      </w:r>
      <w:r w:rsidR="008C4267" w:rsidRPr="001B2353">
        <w:rPr>
          <w:rFonts w:asciiTheme="minorHAnsi" w:hAnsiTheme="minorHAnsi"/>
          <w:sz w:val="22"/>
          <w:szCs w:val="22"/>
        </w:rPr>
        <w:t>ach</w:t>
      </w:r>
      <w:r w:rsidR="002033D4" w:rsidRPr="001B2353">
        <w:rPr>
          <w:rFonts w:asciiTheme="minorHAnsi" w:hAnsiTheme="minorHAnsi"/>
          <w:sz w:val="22"/>
          <w:szCs w:val="22"/>
        </w:rPr>
        <w:t xml:space="preserve"> Działań na rok 201</w:t>
      </w:r>
      <w:r w:rsidR="009F051F" w:rsidRPr="001B2353">
        <w:rPr>
          <w:rFonts w:asciiTheme="minorHAnsi" w:hAnsiTheme="minorHAnsi"/>
          <w:sz w:val="22"/>
          <w:szCs w:val="22"/>
        </w:rPr>
        <w:t>4</w:t>
      </w:r>
      <w:r w:rsidR="002033D4" w:rsidRPr="001B2353">
        <w:rPr>
          <w:rFonts w:asciiTheme="minorHAnsi" w:hAnsiTheme="minorHAnsi"/>
          <w:sz w:val="22"/>
          <w:szCs w:val="22"/>
        </w:rPr>
        <w:t xml:space="preserve"> </w:t>
      </w:r>
      <w:r w:rsidR="008C4267" w:rsidRPr="001B2353">
        <w:rPr>
          <w:rFonts w:asciiTheme="minorHAnsi" w:hAnsiTheme="minorHAnsi"/>
          <w:sz w:val="22"/>
          <w:szCs w:val="22"/>
        </w:rPr>
        <w:t xml:space="preserve">w ramach </w:t>
      </w:r>
      <w:r w:rsidR="002033D4" w:rsidRPr="001B2353">
        <w:rPr>
          <w:rFonts w:asciiTheme="minorHAnsi" w:hAnsiTheme="minorHAnsi"/>
          <w:sz w:val="22"/>
          <w:szCs w:val="22"/>
        </w:rPr>
        <w:t>Programu Operacyjnego Kapitał Ludzki.</w:t>
      </w:r>
    </w:p>
    <w:p w:rsidR="00031F5F" w:rsidRDefault="00031F5F" w:rsidP="00357BFD">
      <w:pPr>
        <w:pStyle w:val="Default"/>
        <w:spacing w:line="360" w:lineRule="auto"/>
        <w:jc w:val="center"/>
        <w:rPr>
          <w:rFonts w:asciiTheme="minorHAnsi" w:hAnsiTheme="minorHAnsi"/>
          <w:b/>
          <w:bCs/>
          <w:sz w:val="22"/>
          <w:szCs w:val="22"/>
        </w:rPr>
      </w:pPr>
    </w:p>
    <w:p w:rsidR="00031F5F" w:rsidRDefault="00031F5F" w:rsidP="00357BFD">
      <w:pPr>
        <w:pStyle w:val="Default"/>
        <w:spacing w:line="360" w:lineRule="auto"/>
        <w:jc w:val="center"/>
        <w:rPr>
          <w:rFonts w:asciiTheme="minorHAnsi" w:hAnsiTheme="minorHAnsi"/>
          <w:b/>
          <w:bCs/>
          <w:sz w:val="22"/>
          <w:szCs w:val="22"/>
        </w:rPr>
      </w:pPr>
    </w:p>
    <w:p w:rsidR="00031F5F" w:rsidRDefault="00031F5F" w:rsidP="00357BFD">
      <w:pPr>
        <w:pStyle w:val="Default"/>
        <w:spacing w:line="360" w:lineRule="auto"/>
        <w:jc w:val="center"/>
        <w:rPr>
          <w:rFonts w:asciiTheme="minorHAnsi" w:hAnsiTheme="minorHAnsi"/>
          <w:b/>
          <w:bCs/>
          <w:sz w:val="22"/>
          <w:szCs w:val="22"/>
        </w:rPr>
      </w:pPr>
    </w:p>
    <w:p w:rsidR="00031F5F" w:rsidRDefault="00031F5F" w:rsidP="00357BFD">
      <w:pPr>
        <w:pStyle w:val="Default"/>
        <w:spacing w:line="360" w:lineRule="auto"/>
        <w:jc w:val="center"/>
        <w:rPr>
          <w:rFonts w:asciiTheme="minorHAnsi" w:hAnsiTheme="minorHAnsi"/>
          <w:b/>
          <w:bCs/>
          <w:sz w:val="22"/>
          <w:szCs w:val="22"/>
        </w:rPr>
      </w:pPr>
    </w:p>
    <w:p w:rsidR="00031F5F" w:rsidRDefault="00031F5F" w:rsidP="00357BFD">
      <w:pPr>
        <w:pStyle w:val="Default"/>
        <w:spacing w:line="360" w:lineRule="auto"/>
        <w:jc w:val="center"/>
        <w:rPr>
          <w:rFonts w:asciiTheme="minorHAnsi" w:hAnsiTheme="minorHAnsi"/>
          <w:b/>
          <w:bCs/>
          <w:sz w:val="22"/>
          <w:szCs w:val="22"/>
        </w:rPr>
      </w:pPr>
    </w:p>
    <w:p w:rsidR="00031F5F" w:rsidRDefault="00031F5F" w:rsidP="00357BFD">
      <w:pPr>
        <w:pStyle w:val="Default"/>
        <w:spacing w:line="360" w:lineRule="auto"/>
        <w:jc w:val="center"/>
        <w:rPr>
          <w:rFonts w:asciiTheme="minorHAnsi" w:hAnsiTheme="minorHAnsi"/>
          <w:b/>
          <w:bCs/>
          <w:sz w:val="22"/>
          <w:szCs w:val="22"/>
        </w:rPr>
      </w:pPr>
    </w:p>
    <w:p w:rsidR="00031F5F" w:rsidRDefault="00031F5F" w:rsidP="00357BFD">
      <w:pPr>
        <w:pStyle w:val="Default"/>
        <w:spacing w:line="360" w:lineRule="auto"/>
        <w:jc w:val="center"/>
        <w:rPr>
          <w:rFonts w:asciiTheme="minorHAnsi" w:hAnsiTheme="minorHAnsi"/>
          <w:b/>
          <w:bCs/>
          <w:sz w:val="22"/>
          <w:szCs w:val="22"/>
        </w:rPr>
      </w:pPr>
    </w:p>
    <w:p w:rsidR="00031F5F" w:rsidRDefault="00031F5F" w:rsidP="00357BFD">
      <w:pPr>
        <w:pStyle w:val="Default"/>
        <w:spacing w:line="360" w:lineRule="auto"/>
        <w:jc w:val="center"/>
        <w:rPr>
          <w:rFonts w:asciiTheme="minorHAnsi" w:hAnsiTheme="minorHAnsi"/>
          <w:b/>
          <w:bCs/>
          <w:sz w:val="22"/>
          <w:szCs w:val="22"/>
        </w:rPr>
      </w:pPr>
    </w:p>
    <w:p w:rsidR="00031F5F" w:rsidRDefault="00031F5F" w:rsidP="00357BFD">
      <w:pPr>
        <w:pStyle w:val="Default"/>
        <w:spacing w:line="360" w:lineRule="auto"/>
        <w:jc w:val="center"/>
        <w:rPr>
          <w:rFonts w:asciiTheme="minorHAnsi" w:hAnsiTheme="minorHAnsi"/>
          <w:b/>
          <w:bCs/>
          <w:sz w:val="22"/>
          <w:szCs w:val="22"/>
        </w:rPr>
      </w:pPr>
    </w:p>
    <w:p w:rsidR="00031F5F" w:rsidRDefault="00031F5F" w:rsidP="00357BFD">
      <w:pPr>
        <w:pStyle w:val="Default"/>
        <w:spacing w:line="360" w:lineRule="auto"/>
        <w:jc w:val="center"/>
        <w:rPr>
          <w:rFonts w:asciiTheme="minorHAnsi" w:hAnsiTheme="minorHAnsi"/>
          <w:b/>
          <w:bCs/>
          <w:sz w:val="22"/>
          <w:szCs w:val="22"/>
        </w:rPr>
      </w:pPr>
    </w:p>
    <w:p w:rsidR="00031F5F" w:rsidRDefault="00031F5F" w:rsidP="00357BFD">
      <w:pPr>
        <w:pStyle w:val="Default"/>
        <w:spacing w:line="360" w:lineRule="auto"/>
        <w:jc w:val="center"/>
        <w:rPr>
          <w:rFonts w:asciiTheme="minorHAnsi" w:hAnsiTheme="minorHAnsi"/>
          <w:b/>
          <w:bCs/>
          <w:sz w:val="22"/>
          <w:szCs w:val="22"/>
        </w:rPr>
      </w:pPr>
    </w:p>
    <w:p w:rsidR="00031F5F" w:rsidRDefault="00031F5F" w:rsidP="00357BFD">
      <w:pPr>
        <w:pStyle w:val="Default"/>
        <w:spacing w:line="360" w:lineRule="auto"/>
        <w:jc w:val="center"/>
        <w:rPr>
          <w:rFonts w:asciiTheme="minorHAnsi" w:hAnsiTheme="minorHAnsi"/>
          <w:b/>
          <w:bCs/>
          <w:sz w:val="22"/>
          <w:szCs w:val="22"/>
        </w:rPr>
      </w:pPr>
    </w:p>
    <w:p w:rsidR="00031F5F" w:rsidRDefault="00031F5F" w:rsidP="00357BFD">
      <w:pPr>
        <w:pStyle w:val="Default"/>
        <w:spacing w:line="360" w:lineRule="auto"/>
        <w:jc w:val="center"/>
        <w:rPr>
          <w:rFonts w:asciiTheme="minorHAnsi" w:hAnsiTheme="minorHAnsi"/>
          <w:b/>
          <w:bCs/>
          <w:sz w:val="22"/>
          <w:szCs w:val="22"/>
        </w:rPr>
      </w:pPr>
    </w:p>
    <w:p w:rsidR="00031F5F" w:rsidRDefault="00031F5F" w:rsidP="00357BFD">
      <w:pPr>
        <w:pStyle w:val="Default"/>
        <w:spacing w:line="360" w:lineRule="auto"/>
        <w:jc w:val="center"/>
        <w:rPr>
          <w:rFonts w:asciiTheme="minorHAnsi" w:hAnsiTheme="minorHAnsi"/>
          <w:b/>
          <w:bCs/>
          <w:sz w:val="22"/>
          <w:szCs w:val="22"/>
        </w:rPr>
      </w:pPr>
    </w:p>
    <w:p w:rsidR="00031F5F" w:rsidRDefault="00031F5F" w:rsidP="00357BFD">
      <w:pPr>
        <w:pStyle w:val="Default"/>
        <w:spacing w:line="360" w:lineRule="auto"/>
        <w:jc w:val="center"/>
        <w:rPr>
          <w:rFonts w:asciiTheme="minorHAnsi" w:hAnsiTheme="minorHAnsi"/>
          <w:b/>
          <w:bCs/>
          <w:sz w:val="22"/>
          <w:szCs w:val="22"/>
        </w:rPr>
      </w:pPr>
    </w:p>
    <w:p w:rsidR="00031F5F" w:rsidRDefault="00031F5F" w:rsidP="00357BFD">
      <w:pPr>
        <w:pStyle w:val="Default"/>
        <w:spacing w:line="360" w:lineRule="auto"/>
        <w:jc w:val="center"/>
        <w:rPr>
          <w:rFonts w:asciiTheme="minorHAnsi" w:hAnsiTheme="minorHAnsi"/>
          <w:b/>
          <w:bCs/>
          <w:sz w:val="22"/>
          <w:szCs w:val="22"/>
        </w:rPr>
      </w:pPr>
    </w:p>
    <w:p w:rsidR="00031F5F" w:rsidRDefault="00031F5F" w:rsidP="00357BFD">
      <w:pPr>
        <w:pStyle w:val="Default"/>
        <w:spacing w:line="360" w:lineRule="auto"/>
        <w:jc w:val="center"/>
        <w:rPr>
          <w:rFonts w:asciiTheme="minorHAnsi" w:hAnsiTheme="minorHAnsi"/>
          <w:b/>
          <w:bCs/>
          <w:sz w:val="22"/>
          <w:szCs w:val="22"/>
        </w:rPr>
      </w:pPr>
    </w:p>
    <w:p w:rsidR="00031F5F" w:rsidRDefault="00031F5F" w:rsidP="00357BFD">
      <w:pPr>
        <w:pStyle w:val="Default"/>
        <w:spacing w:line="360" w:lineRule="auto"/>
        <w:jc w:val="center"/>
        <w:rPr>
          <w:rFonts w:asciiTheme="minorHAnsi" w:hAnsiTheme="minorHAnsi"/>
          <w:b/>
          <w:bCs/>
          <w:sz w:val="22"/>
          <w:szCs w:val="22"/>
        </w:rPr>
      </w:pPr>
    </w:p>
    <w:p w:rsidR="00031F5F" w:rsidRDefault="00031F5F" w:rsidP="00357BFD">
      <w:pPr>
        <w:pStyle w:val="Default"/>
        <w:spacing w:line="360" w:lineRule="auto"/>
        <w:jc w:val="center"/>
        <w:rPr>
          <w:rFonts w:asciiTheme="minorHAnsi" w:hAnsiTheme="minorHAnsi"/>
          <w:b/>
          <w:bCs/>
          <w:sz w:val="22"/>
          <w:szCs w:val="22"/>
        </w:rPr>
      </w:pPr>
    </w:p>
    <w:p w:rsidR="00031F5F" w:rsidRDefault="00031F5F" w:rsidP="00357BFD">
      <w:pPr>
        <w:pStyle w:val="Default"/>
        <w:spacing w:line="360" w:lineRule="auto"/>
        <w:jc w:val="center"/>
        <w:rPr>
          <w:rFonts w:asciiTheme="minorHAnsi" w:hAnsiTheme="minorHAnsi"/>
          <w:b/>
          <w:bCs/>
          <w:sz w:val="22"/>
          <w:szCs w:val="22"/>
        </w:rPr>
      </w:pPr>
    </w:p>
    <w:p w:rsidR="00031F5F" w:rsidRDefault="00031F5F" w:rsidP="00357BFD">
      <w:pPr>
        <w:pStyle w:val="Default"/>
        <w:spacing w:line="360" w:lineRule="auto"/>
        <w:jc w:val="center"/>
        <w:rPr>
          <w:rFonts w:asciiTheme="minorHAnsi" w:hAnsiTheme="minorHAnsi"/>
          <w:b/>
          <w:bCs/>
          <w:sz w:val="22"/>
          <w:szCs w:val="22"/>
        </w:rPr>
      </w:pPr>
    </w:p>
    <w:p w:rsidR="00031F5F" w:rsidRDefault="00031F5F" w:rsidP="00357BFD">
      <w:pPr>
        <w:pStyle w:val="Default"/>
        <w:spacing w:line="360" w:lineRule="auto"/>
        <w:jc w:val="center"/>
        <w:rPr>
          <w:rFonts w:asciiTheme="minorHAnsi" w:hAnsiTheme="minorHAnsi"/>
          <w:b/>
          <w:bCs/>
          <w:sz w:val="22"/>
          <w:szCs w:val="22"/>
        </w:rPr>
      </w:pPr>
    </w:p>
    <w:p w:rsidR="00245949" w:rsidRPr="001B2353" w:rsidRDefault="00AF6244" w:rsidP="00357BFD">
      <w:pPr>
        <w:pStyle w:val="Default"/>
        <w:spacing w:line="360" w:lineRule="auto"/>
        <w:jc w:val="center"/>
        <w:rPr>
          <w:rFonts w:asciiTheme="minorHAnsi" w:hAnsiTheme="minorHAnsi"/>
          <w:b/>
          <w:bCs/>
          <w:sz w:val="22"/>
          <w:szCs w:val="22"/>
        </w:rPr>
      </w:pPr>
      <w:r w:rsidRPr="001B2353">
        <w:rPr>
          <w:rFonts w:asciiTheme="minorHAnsi" w:hAnsiTheme="minorHAnsi"/>
          <w:b/>
          <w:bCs/>
          <w:sz w:val="22"/>
          <w:szCs w:val="22"/>
        </w:rPr>
        <w:lastRenderedPageBreak/>
        <w:t>R</w:t>
      </w:r>
      <w:r w:rsidR="00245949" w:rsidRPr="001B2353">
        <w:rPr>
          <w:rFonts w:asciiTheme="minorHAnsi" w:hAnsiTheme="minorHAnsi"/>
          <w:b/>
          <w:bCs/>
          <w:sz w:val="22"/>
          <w:szCs w:val="22"/>
        </w:rPr>
        <w:t>OZDZIAŁ 3</w:t>
      </w:r>
    </w:p>
    <w:p w:rsidR="001B5049" w:rsidRPr="001B2353" w:rsidRDefault="001B5049" w:rsidP="00357BFD">
      <w:pPr>
        <w:pStyle w:val="Default"/>
        <w:spacing w:line="360" w:lineRule="auto"/>
        <w:jc w:val="center"/>
        <w:rPr>
          <w:rFonts w:asciiTheme="minorHAnsi" w:hAnsiTheme="minorHAnsi"/>
          <w:sz w:val="22"/>
          <w:szCs w:val="22"/>
        </w:rPr>
      </w:pPr>
    </w:p>
    <w:p w:rsidR="00245949" w:rsidRPr="001B2353" w:rsidRDefault="00F1345F" w:rsidP="001B5049">
      <w:pPr>
        <w:pStyle w:val="Default"/>
        <w:spacing w:line="360" w:lineRule="auto"/>
        <w:jc w:val="center"/>
        <w:rPr>
          <w:rFonts w:asciiTheme="minorHAnsi" w:hAnsiTheme="minorHAnsi"/>
          <w:sz w:val="22"/>
          <w:szCs w:val="22"/>
        </w:rPr>
      </w:pPr>
      <w:r w:rsidRPr="001B2353">
        <w:rPr>
          <w:rFonts w:asciiTheme="minorHAnsi" w:hAnsiTheme="minorHAnsi"/>
          <w:b/>
          <w:bCs/>
          <w:sz w:val="22"/>
          <w:szCs w:val="22"/>
        </w:rPr>
        <w:t>Ź</w:t>
      </w:r>
      <w:r w:rsidR="00245949" w:rsidRPr="001B2353">
        <w:rPr>
          <w:rFonts w:asciiTheme="minorHAnsi" w:hAnsiTheme="minorHAnsi"/>
          <w:b/>
          <w:bCs/>
          <w:sz w:val="22"/>
          <w:szCs w:val="22"/>
        </w:rPr>
        <w:t>RÓDŁA FINANSOWANIA ZADAŃ UJĘTYCH W DOLNOŚLĄSKIM REGIONALNYM PLANIE DZIALAŃ NA RZECZ ZATRUDNIENIA NA 2013 ROK</w:t>
      </w:r>
      <w:r w:rsidR="00245949" w:rsidRPr="001B2353">
        <w:rPr>
          <w:rFonts w:asciiTheme="minorHAnsi" w:hAnsiTheme="minorHAnsi"/>
          <w:b/>
          <w:bCs/>
          <w:i/>
          <w:iCs/>
          <w:sz w:val="22"/>
          <w:szCs w:val="22"/>
        </w:rPr>
        <w:t>.</w:t>
      </w:r>
    </w:p>
    <w:p w:rsidR="00245949" w:rsidRPr="001B2353" w:rsidRDefault="00245949" w:rsidP="00F1345F">
      <w:pPr>
        <w:pStyle w:val="Default"/>
        <w:spacing w:line="276" w:lineRule="auto"/>
        <w:rPr>
          <w:rFonts w:asciiTheme="minorHAnsi" w:hAnsiTheme="minorHAnsi"/>
          <w:sz w:val="22"/>
          <w:szCs w:val="22"/>
        </w:rPr>
      </w:pPr>
    </w:p>
    <w:p w:rsidR="001B5049" w:rsidRPr="001B2353" w:rsidRDefault="001B5049" w:rsidP="00F1345F">
      <w:pPr>
        <w:pStyle w:val="Default"/>
        <w:spacing w:line="276" w:lineRule="auto"/>
        <w:rPr>
          <w:rFonts w:asciiTheme="minorHAnsi" w:hAnsiTheme="minorHAnsi"/>
          <w:sz w:val="22"/>
          <w:szCs w:val="22"/>
        </w:rPr>
      </w:pPr>
    </w:p>
    <w:p w:rsidR="00245949" w:rsidRPr="001B2353" w:rsidRDefault="00245949" w:rsidP="00357BFD">
      <w:pPr>
        <w:pStyle w:val="Default"/>
        <w:spacing w:line="360" w:lineRule="auto"/>
        <w:ind w:firstLine="709"/>
        <w:rPr>
          <w:rFonts w:asciiTheme="minorHAnsi" w:hAnsiTheme="minorHAnsi"/>
          <w:sz w:val="22"/>
          <w:szCs w:val="22"/>
        </w:rPr>
      </w:pPr>
      <w:r w:rsidRPr="001B2353">
        <w:rPr>
          <w:rFonts w:asciiTheme="minorHAnsi" w:hAnsiTheme="minorHAnsi"/>
          <w:sz w:val="22"/>
          <w:szCs w:val="22"/>
        </w:rPr>
        <w:t>Podstawowymi źródłami finansowania zadań ujętych w Dolnośląskim Regionalnym Planie Działań na Rzecz Zatrudnienia w 201</w:t>
      </w:r>
      <w:r w:rsidR="00EE240D">
        <w:rPr>
          <w:rFonts w:asciiTheme="minorHAnsi" w:hAnsiTheme="minorHAnsi"/>
          <w:sz w:val="22"/>
          <w:szCs w:val="22"/>
        </w:rPr>
        <w:t>4</w:t>
      </w:r>
      <w:r w:rsidRPr="001B2353">
        <w:rPr>
          <w:rFonts w:asciiTheme="minorHAnsi" w:hAnsiTheme="minorHAnsi"/>
          <w:sz w:val="22"/>
          <w:szCs w:val="22"/>
        </w:rPr>
        <w:t xml:space="preserve"> roku będą: </w:t>
      </w:r>
    </w:p>
    <w:p w:rsidR="00245949" w:rsidRPr="001B2353" w:rsidRDefault="00245949" w:rsidP="00357BFD">
      <w:pPr>
        <w:pStyle w:val="Default"/>
        <w:numPr>
          <w:ilvl w:val="0"/>
          <w:numId w:val="2"/>
        </w:numPr>
        <w:spacing w:line="360" w:lineRule="auto"/>
        <w:rPr>
          <w:rFonts w:asciiTheme="minorHAnsi" w:hAnsiTheme="minorHAnsi"/>
          <w:sz w:val="22"/>
          <w:szCs w:val="22"/>
        </w:rPr>
      </w:pPr>
      <w:r w:rsidRPr="001B2353">
        <w:rPr>
          <w:rFonts w:asciiTheme="minorHAnsi" w:hAnsiTheme="minorHAnsi"/>
          <w:sz w:val="22"/>
          <w:szCs w:val="22"/>
        </w:rPr>
        <w:t xml:space="preserve">Fundusz Pracy, </w:t>
      </w:r>
    </w:p>
    <w:p w:rsidR="00245949" w:rsidRPr="001B2353" w:rsidRDefault="00245949" w:rsidP="00357BFD">
      <w:pPr>
        <w:pStyle w:val="Default"/>
        <w:numPr>
          <w:ilvl w:val="0"/>
          <w:numId w:val="2"/>
        </w:numPr>
        <w:spacing w:line="360" w:lineRule="auto"/>
        <w:rPr>
          <w:rFonts w:asciiTheme="minorHAnsi" w:hAnsiTheme="minorHAnsi"/>
          <w:sz w:val="22"/>
          <w:szCs w:val="22"/>
        </w:rPr>
      </w:pPr>
      <w:r w:rsidRPr="001B2353">
        <w:rPr>
          <w:rFonts w:asciiTheme="minorHAnsi" w:hAnsiTheme="minorHAnsi"/>
          <w:sz w:val="22"/>
          <w:szCs w:val="22"/>
        </w:rPr>
        <w:t xml:space="preserve">środki Europejskiego Funduszu Społecznego, </w:t>
      </w:r>
    </w:p>
    <w:p w:rsidR="00245949" w:rsidRPr="001B2353" w:rsidRDefault="00245949" w:rsidP="00357BFD">
      <w:pPr>
        <w:pStyle w:val="Default"/>
        <w:numPr>
          <w:ilvl w:val="0"/>
          <w:numId w:val="2"/>
        </w:numPr>
        <w:spacing w:line="360" w:lineRule="auto"/>
        <w:rPr>
          <w:rFonts w:asciiTheme="minorHAnsi" w:hAnsiTheme="minorHAnsi"/>
          <w:sz w:val="22"/>
          <w:szCs w:val="22"/>
        </w:rPr>
      </w:pPr>
      <w:r w:rsidRPr="001B2353">
        <w:rPr>
          <w:rFonts w:asciiTheme="minorHAnsi" w:hAnsiTheme="minorHAnsi"/>
          <w:sz w:val="22"/>
          <w:szCs w:val="22"/>
        </w:rPr>
        <w:t xml:space="preserve">budżet Unii Europejskiej, </w:t>
      </w:r>
    </w:p>
    <w:p w:rsidR="00245949" w:rsidRPr="001B2353" w:rsidRDefault="00245949" w:rsidP="00357BFD">
      <w:pPr>
        <w:pStyle w:val="Default"/>
        <w:numPr>
          <w:ilvl w:val="0"/>
          <w:numId w:val="2"/>
        </w:numPr>
        <w:spacing w:line="360" w:lineRule="auto"/>
        <w:rPr>
          <w:rFonts w:asciiTheme="minorHAnsi" w:hAnsiTheme="minorHAnsi"/>
          <w:sz w:val="22"/>
          <w:szCs w:val="22"/>
        </w:rPr>
      </w:pPr>
      <w:r w:rsidRPr="001B2353">
        <w:rPr>
          <w:rFonts w:asciiTheme="minorHAnsi" w:hAnsiTheme="minorHAnsi"/>
          <w:sz w:val="22"/>
          <w:szCs w:val="22"/>
        </w:rPr>
        <w:t xml:space="preserve">inne środki (np. PFRON, środki prywatne, środki jednostek samorządu terytorialnego). </w:t>
      </w:r>
    </w:p>
    <w:p w:rsidR="00F1345F" w:rsidRPr="001B2353" w:rsidRDefault="00F1345F" w:rsidP="00357BFD">
      <w:pPr>
        <w:pStyle w:val="Default"/>
        <w:spacing w:line="360" w:lineRule="auto"/>
        <w:ind w:firstLine="709"/>
        <w:jc w:val="both"/>
        <w:rPr>
          <w:rFonts w:asciiTheme="minorHAnsi" w:hAnsiTheme="minorHAnsi"/>
          <w:sz w:val="22"/>
          <w:szCs w:val="22"/>
        </w:rPr>
      </w:pPr>
    </w:p>
    <w:p w:rsidR="00245949" w:rsidRPr="001B2353" w:rsidRDefault="00245949" w:rsidP="00357BFD">
      <w:pPr>
        <w:pStyle w:val="Default"/>
        <w:spacing w:line="360" w:lineRule="auto"/>
        <w:ind w:firstLine="709"/>
        <w:jc w:val="both"/>
        <w:rPr>
          <w:rFonts w:asciiTheme="minorHAnsi" w:hAnsiTheme="minorHAnsi"/>
          <w:sz w:val="22"/>
          <w:szCs w:val="22"/>
        </w:rPr>
      </w:pPr>
      <w:r w:rsidRPr="001B2353">
        <w:rPr>
          <w:rFonts w:asciiTheme="minorHAnsi" w:hAnsiTheme="minorHAnsi"/>
          <w:sz w:val="22"/>
          <w:szCs w:val="22"/>
        </w:rPr>
        <w:t>Na realizację w 201</w:t>
      </w:r>
      <w:r w:rsidR="006563E4" w:rsidRPr="001B2353">
        <w:rPr>
          <w:rFonts w:asciiTheme="minorHAnsi" w:hAnsiTheme="minorHAnsi"/>
          <w:sz w:val="22"/>
          <w:szCs w:val="22"/>
        </w:rPr>
        <w:t>4</w:t>
      </w:r>
      <w:r w:rsidRPr="001B2353">
        <w:rPr>
          <w:rFonts w:asciiTheme="minorHAnsi" w:hAnsiTheme="minorHAnsi"/>
          <w:sz w:val="22"/>
          <w:szCs w:val="22"/>
        </w:rPr>
        <w:t xml:space="preserve"> roku w województwie dolnośląskim programów na rzecz promocji zatrudnienia, łagodzenia skutków bezrobocia i aktywizacji zawodowej osób bezrobotnych przeznaczona została z Funduszu Pracy decyzją Ministra Pracy i Polityki Społecznej kwota</w:t>
      </w:r>
      <w:r w:rsidR="00DF6277" w:rsidRPr="001B2353">
        <w:rPr>
          <w:rFonts w:asciiTheme="minorHAnsi" w:hAnsiTheme="minorHAnsi"/>
          <w:sz w:val="22"/>
          <w:szCs w:val="22"/>
        </w:rPr>
        <w:t xml:space="preserve"> 2</w:t>
      </w:r>
      <w:r w:rsidR="009F051F" w:rsidRPr="001B2353">
        <w:rPr>
          <w:rFonts w:asciiTheme="minorHAnsi" w:hAnsiTheme="minorHAnsi"/>
          <w:sz w:val="22"/>
          <w:szCs w:val="22"/>
        </w:rPr>
        <w:t>34</w:t>
      </w:r>
      <w:r w:rsidR="00DF6277" w:rsidRPr="001B2353">
        <w:rPr>
          <w:rFonts w:asciiTheme="minorHAnsi" w:hAnsiTheme="minorHAnsi"/>
          <w:sz w:val="22"/>
          <w:szCs w:val="22"/>
        </w:rPr>
        <w:t> </w:t>
      </w:r>
      <w:r w:rsidR="009F051F" w:rsidRPr="001B2353">
        <w:rPr>
          <w:rFonts w:asciiTheme="minorHAnsi" w:hAnsiTheme="minorHAnsi"/>
          <w:sz w:val="22"/>
          <w:szCs w:val="22"/>
        </w:rPr>
        <w:t>655</w:t>
      </w:r>
      <w:r w:rsidR="00DF6277" w:rsidRPr="001B2353">
        <w:rPr>
          <w:rFonts w:asciiTheme="minorHAnsi" w:hAnsiTheme="minorHAnsi"/>
          <w:sz w:val="22"/>
          <w:szCs w:val="22"/>
        </w:rPr>
        <w:t>,</w:t>
      </w:r>
      <w:r w:rsidR="009F051F" w:rsidRPr="001B2353">
        <w:rPr>
          <w:rFonts w:asciiTheme="minorHAnsi" w:hAnsiTheme="minorHAnsi"/>
          <w:sz w:val="22"/>
          <w:szCs w:val="22"/>
        </w:rPr>
        <w:t>9</w:t>
      </w:r>
      <w:r w:rsidRPr="001B2353">
        <w:rPr>
          <w:rFonts w:asciiTheme="minorHAnsi" w:hAnsiTheme="minorHAnsi"/>
          <w:sz w:val="22"/>
          <w:szCs w:val="22"/>
        </w:rPr>
        <w:t xml:space="preserve"> tys. zł. </w:t>
      </w:r>
    </w:p>
    <w:p w:rsidR="00245949" w:rsidRPr="001B2353" w:rsidRDefault="00245949" w:rsidP="00357BFD">
      <w:pPr>
        <w:pStyle w:val="Default"/>
        <w:spacing w:line="360" w:lineRule="auto"/>
        <w:rPr>
          <w:rFonts w:asciiTheme="minorHAnsi" w:hAnsiTheme="minorHAnsi"/>
          <w:sz w:val="22"/>
          <w:szCs w:val="22"/>
        </w:rPr>
      </w:pPr>
      <w:r w:rsidRPr="001B2353">
        <w:rPr>
          <w:rFonts w:asciiTheme="minorHAnsi" w:hAnsiTheme="minorHAnsi"/>
          <w:sz w:val="22"/>
          <w:szCs w:val="22"/>
        </w:rPr>
        <w:t xml:space="preserve">Z kwoty tej: </w:t>
      </w:r>
    </w:p>
    <w:p w:rsidR="00245949" w:rsidRPr="001B2353" w:rsidRDefault="009F051F" w:rsidP="00357BFD">
      <w:pPr>
        <w:pStyle w:val="Default"/>
        <w:numPr>
          <w:ilvl w:val="0"/>
          <w:numId w:val="3"/>
        </w:numPr>
        <w:spacing w:line="360" w:lineRule="auto"/>
        <w:ind w:left="714" w:hanging="357"/>
        <w:jc w:val="both"/>
        <w:rPr>
          <w:rFonts w:asciiTheme="minorHAnsi" w:hAnsiTheme="minorHAnsi"/>
          <w:sz w:val="22"/>
          <w:szCs w:val="22"/>
        </w:rPr>
      </w:pPr>
      <w:r w:rsidRPr="001B2353">
        <w:rPr>
          <w:rFonts w:asciiTheme="minorHAnsi" w:hAnsiTheme="minorHAnsi"/>
          <w:sz w:val="22"/>
          <w:szCs w:val="22"/>
        </w:rPr>
        <w:t>69 089,8</w:t>
      </w:r>
      <w:r w:rsidR="00191629" w:rsidRPr="001B2353">
        <w:rPr>
          <w:rFonts w:asciiTheme="minorHAnsi" w:hAnsiTheme="minorHAnsi"/>
          <w:sz w:val="22"/>
          <w:szCs w:val="22"/>
        </w:rPr>
        <w:t xml:space="preserve"> </w:t>
      </w:r>
      <w:r w:rsidR="00245949" w:rsidRPr="001B2353">
        <w:rPr>
          <w:rFonts w:asciiTheme="minorHAnsi" w:hAnsiTheme="minorHAnsi"/>
          <w:sz w:val="22"/>
          <w:szCs w:val="22"/>
        </w:rPr>
        <w:t xml:space="preserve">tys. zł, przekazano samorządom powiatów na podstawie zatwierdzonych przez Sejmik Województwa Dolnośląskiego kryteriów podziału środków Funduszu Pracy dla samorządów powiatów województwa dolnośląskiego preferujących powiaty o wysokiej stopie bezrobocia, dużej skali napływów i odpływu bezrobotnych, wysokich wskaźnikach efektywności zatrudnieniowej realizowanych programów aktywizacji bezrobotnych, a także powiaty mające dużą liczbę zarejestrowanej bezrobotnej młodzieży oraz bezrobotnych powyżej 50 roku życia. </w:t>
      </w:r>
    </w:p>
    <w:p w:rsidR="00245949" w:rsidRPr="001B2353" w:rsidRDefault="00191629" w:rsidP="00357BFD">
      <w:pPr>
        <w:pStyle w:val="Default"/>
        <w:numPr>
          <w:ilvl w:val="0"/>
          <w:numId w:val="3"/>
        </w:numPr>
        <w:spacing w:line="360" w:lineRule="auto"/>
        <w:ind w:left="714" w:hanging="357"/>
        <w:jc w:val="both"/>
        <w:rPr>
          <w:rFonts w:asciiTheme="minorHAnsi" w:hAnsiTheme="minorHAnsi"/>
          <w:color w:val="auto"/>
          <w:sz w:val="22"/>
          <w:szCs w:val="22"/>
        </w:rPr>
      </w:pPr>
      <w:r w:rsidRPr="001B2353">
        <w:rPr>
          <w:rFonts w:asciiTheme="minorHAnsi" w:hAnsiTheme="minorHAnsi"/>
          <w:sz w:val="22"/>
          <w:szCs w:val="22"/>
        </w:rPr>
        <w:t>1</w:t>
      </w:r>
      <w:r w:rsidR="009F051F" w:rsidRPr="001B2353">
        <w:rPr>
          <w:rFonts w:asciiTheme="minorHAnsi" w:hAnsiTheme="minorHAnsi"/>
          <w:sz w:val="22"/>
          <w:szCs w:val="22"/>
        </w:rPr>
        <w:t>65</w:t>
      </w:r>
      <w:r w:rsidRPr="001B2353">
        <w:rPr>
          <w:rFonts w:asciiTheme="minorHAnsi" w:hAnsiTheme="minorHAnsi"/>
          <w:sz w:val="22"/>
          <w:szCs w:val="22"/>
        </w:rPr>
        <w:t> </w:t>
      </w:r>
      <w:r w:rsidR="009F051F" w:rsidRPr="001B2353">
        <w:rPr>
          <w:rFonts w:asciiTheme="minorHAnsi" w:hAnsiTheme="minorHAnsi"/>
          <w:sz w:val="22"/>
          <w:szCs w:val="22"/>
        </w:rPr>
        <w:t>556</w:t>
      </w:r>
      <w:r w:rsidRPr="001B2353">
        <w:rPr>
          <w:rFonts w:asciiTheme="minorHAnsi" w:hAnsiTheme="minorHAnsi"/>
          <w:sz w:val="22"/>
          <w:szCs w:val="22"/>
        </w:rPr>
        <w:t>,</w:t>
      </w:r>
      <w:r w:rsidR="009F051F" w:rsidRPr="001B2353">
        <w:rPr>
          <w:rFonts w:asciiTheme="minorHAnsi" w:hAnsiTheme="minorHAnsi"/>
          <w:sz w:val="22"/>
          <w:szCs w:val="22"/>
        </w:rPr>
        <w:t>1</w:t>
      </w:r>
      <w:r w:rsidR="00245949" w:rsidRPr="001B2353">
        <w:rPr>
          <w:rFonts w:asciiTheme="minorHAnsi" w:hAnsiTheme="minorHAnsi"/>
          <w:sz w:val="22"/>
          <w:szCs w:val="22"/>
        </w:rPr>
        <w:t xml:space="preserve"> tys. zł, będących w dyspozycji Samorządu Województwa przeznaczono na realizację priorytetu VI PO KL Poddziałanie 6.1.3 „Poprawa zdolności do zatrudnienia oraz podnoszenie poziomu aktywności zawodowej osób bezrobotnych.” W ramach tego projektu poprzez powiatowe urzędy pracy wdrażane są instrumenty i usługi rynku pracy wymienione w ustawie o promocji zatrudnienia i instytucjach rynku pracy</w:t>
      </w:r>
      <w:r w:rsidR="00003E3D">
        <w:rPr>
          <w:rFonts w:asciiTheme="minorHAnsi" w:hAnsiTheme="minorHAnsi"/>
          <w:sz w:val="22"/>
          <w:szCs w:val="22"/>
        </w:rPr>
        <w:t>,</w:t>
      </w:r>
      <w:r w:rsidR="00245949" w:rsidRPr="001B2353">
        <w:rPr>
          <w:rFonts w:asciiTheme="minorHAnsi" w:hAnsiTheme="minorHAnsi"/>
          <w:sz w:val="22"/>
          <w:szCs w:val="22"/>
        </w:rPr>
        <w:t xml:space="preserve"> związane głównie z realizacją następujących form wsparcia: szkoleń, staży, przygotowania zawodowego</w:t>
      </w:r>
      <w:r w:rsidRPr="001B2353">
        <w:rPr>
          <w:rFonts w:asciiTheme="minorHAnsi" w:hAnsiTheme="minorHAnsi"/>
          <w:sz w:val="22"/>
          <w:szCs w:val="22"/>
        </w:rPr>
        <w:t xml:space="preserve"> dorosłych,</w:t>
      </w:r>
      <w:r w:rsidR="00245949" w:rsidRPr="001B2353">
        <w:rPr>
          <w:rFonts w:asciiTheme="minorHAnsi" w:hAnsiTheme="minorHAnsi"/>
          <w:sz w:val="22"/>
          <w:szCs w:val="22"/>
        </w:rPr>
        <w:t xml:space="preserve"> prac interwencyjnych,</w:t>
      </w:r>
      <w:r w:rsidR="001B2353" w:rsidRPr="001B2353">
        <w:rPr>
          <w:rFonts w:asciiTheme="minorHAnsi" w:hAnsiTheme="minorHAnsi"/>
          <w:sz w:val="22"/>
          <w:szCs w:val="22"/>
        </w:rPr>
        <w:t xml:space="preserve"> wyposażenia i </w:t>
      </w:r>
      <w:r w:rsidRPr="001B2353">
        <w:rPr>
          <w:rFonts w:asciiTheme="minorHAnsi" w:hAnsiTheme="minorHAnsi"/>
          <w:sz w:val="22"/>
          <w:szCs w:val="22"/>
        </w:rPr>
        <w:t>doposażenia stanowiska pracy,</w:t>
      </w:r>
      <w:r w:rsidR="00245949" w:rsidRPr="001B2353">
        <w:rPr>
          <w:rFonts w:asciiTheme="minorHAnsi" w:hAnsiTheme="minorHAnsi"/>
          <w:sz w:val="22"/>
          <w:szCs w:val="22"/>
        </w:rPr>
        <w:t xml:space="preserve"> przyznania jednorazowych środków na podjęcie działalności gospodarczej, w tym </w:t>
      </w:r>
      <w:r w:rsidR="00245949" w:rsidRPr="001B2353">
        <w:rPr>
          <w:rFonts w:asciiTheme="minorHAnsi" w:hAnsiTheme="minorHAnsi"/>
          <w:color w:val="auto"/>
          <w:sz w:val="22"/>
          <w:szCs w:val="22"/>
        </w:rPr>
        <w:t>pomocy prawnej, konsultacji i doradztwa związanego z podjęciem działalności gospodarczej</w:t>
      </w:r>
      <w:r w:rsidRPr="001B2353">
        <w:rPr>
          <w:rFonts w:asciiTheme="minorHAnsi" w:hAnsiTheme="minorHAnsi"/>
          <w:color w:val="auto"/>
          <w:sz w:val="22"/>
          <w:szCs w:val="22"/>
        </w:rPr>
        <w:t>.</w:t>
      </w:r>
      <w:r w:rsidR="00245949" w:rsidRPr="001B2353">
        <w:rPr>
          <w:rFonts w:asciiTheme="minorHAnsi" w:hAnsiTheme="minorHAnsi"/>
          <w:color w:val="auto"/>
          <w:sz w:val="22"/>
          <w:szCs w:val="22"/>
        </w:rPr>
        <w:t xml:space="preserve"> Zgodnie z szczegółowymi kryteriam</w:t>
      </w:r>
      <w:r w:rsidR="004E232B" w:rsidRPr="001B2353">
        <w:rPr>
          <w:rFonts w:asciiTheme="minorHAnsi" w:hAnsiTheme="minorHAnsi"/>
          <w:color w:val="auto"/>
          <w:sz w:val="22"/>
          <w:szCs w:val="22"/>
        </w:rPr>
        <w:t>i wyboru projektów co najmniej 50</w:t>
      </w:r>
      <w:r w:rsidR="00245949" w:rsidRPr="001B2353">
        <w:rPr>
          <w:rFonts w:asciiTheme="minorHAnsi" w:hAnsiTheme="minorHAnsi"/>
          <w:color w:val="auto"/>
          <w:sz w:val="22"/>
          <w:szCs w:val="22"/>
        </w:rPr>
        <w:t xml:space="preserve">% uczestników </w:t>
      </w:r>
      <w:r w:rsidR="004E232B" w:rsidRPr="001B2353">
        <w:rPr>
          <w:rFonts w:asciiTheme="minorHAnsi" w:hAnsiTheme="minorHAnsi"/>
          <w:color w:val="auto"/>
          <w:sz w:val="22"/>
          <w:szCs w:val="22"/>
        </w:rPr>
        <w:t xml:space="preserve">projektów muszą stanowić osoby powyżej 50 roku </w:t>
      </w:r>
      <w:r w:rsidR="001B2353" w:rsidRPr="001B2353">
        <w:rPr>
          <w:rFonts w:asciiTheme="minorHAnsi" w:hAnsiTheme="minorHAnsi"/>
          <w:color w:val="auto"/>
          <w:sz w:val="22"/>
          <w:szCs w:val="22"/>
        </w:rPr>
        <w:t>ż</w:t>
      </w:r>
      <w:r w:rsidR="004E232B" w:rsidRPr="001B2353">
        <w:rPr>
          <w:rFonts w:asciiTheme="minorHAnsi" w:hAnsiTheme="minorHAnsi"/>
          <w:color w:val="auto"/>
          <w:sz w:val="22"/>
          <w:szCs w:val="22"/>
        </w:rPr>
        <w:t xml:space="preserve">ycia lub osoby młode do ukończenia 30 roku </w:t>
      </w:r>
      <w:r w:rsidR="001B2353" w:rsidRPr="001B2353">
        <w:rPr>
          <w:rFonts w:asciiTheme="minorHAnsi" w:hAnsiTheme="minorHAnsi"/>
          <w:color w:val="auto"/>
          <w:sz w:val="22"/>
          <w:szCs w:val="22"/>
        </w:rPr>
        <w:t>ż</w:t>
      </w:r>
      <w:r w:rsidR="004E232B" w:rsidRPr="001B2353">
        <w:rPr>
          <w:rFonts w:asciiTheme="minorHAnsi" w:hAnsiTheme="minorHAnsi"/>
          <w:color w:val="auto"/>
          <w:sz w:val="22"/>
          <w:szCs w:val="22"/>
        </w:rPr>
        <w:t xml:space="preserve">ycia, w tym minimum 20% całej grupy </w:t>
      </w:r>
      <w:r w:rsidR="001B2353" w:rsidRPr="001B2353">
        <w:rPr>
          <w:rFonts w:asciiTheme="minorHAnsi" w:hAnsiTheme="minorHAnsi"/>
          <w:color w:val="auto"/>
          <w:sz w:val="22"/>
          <w:szCs w:val="22"/>
        </w:rPr>
        <w:t>docelowej w </w:t>
      </w:r>
      <w:r w:rsidR="004E232B" w:rsidRPr="001B2353">
        <w:rPr>
          <w:rFonts w:asciiTheme="minorHAnsi" w:hAnsiTheme="minorHAnsi"/>
          <w:color w:val="auto"/>
          <w:sz w:val="22"/>
          <w:szCs w:val="22"/>
        </w:rPr>
        <w:t xml:space="preserve">projekcie stanowią osoby młode poniżej 25 roku </w:t>
      </w:r>
      <w:r w:rsidR="001B2353" w:rsidRPr="001B2353">
        <w:rPr>
          <w:rFonts w:asciiTheme="minorHAnsi" w:hAnsiTheme="minorHAnsi"/>
          <w:color w:val="auto"/>
          <w:sz w:val="22"/>
          <w:szCs w:val="22"/>
        </w:rPr>
        <w:t>ż</w:t>
      </w:r>
      <w:r w:rsidR="004E232B" w:rsidRPr="001B2353">
        <w:rPr>
          <w:rFonts w:asciiTheme="minorHAnsi" w:hAnsiTheme="minorHAnsi"/>
          <w:color w:val="auto"/>
          <w:sz w:val="22"/>
          <w:szCs w:val="22"/>
        </w:rPr>
        <w:t>ycia, które nie mają zatrudnienia ani nie uczestniczą w kształceniu lub szkoleniu</w:t>
      </w:r>
      <w:r w:rsidR="001B2353" w:rsidRPr="001B2353">
        <w:rPr>
          <w:rFonts w:asciiTheme="minorHAnsi" w:hAnsiTheme="minorHAnsi"/>
          <w:color w:val="auto"/>
          <w:sz w:val="22"/>
          <w:szCs w:val="22"/>
        </w:rPr>
        <w:t>.</w:t>
      </w:r>
      <w:r w:rsidR="00245949" w:rsidRPr="001B2353">
        <w:rPr>
          <w:rFonts w:asciiTheme="minorHAnsi" w:hAnsiTheme="minorHAnsi"/>
          <w:color w:val="auto"/>
          <w:sz w:val="22"/>
          <w:szCs w:val="22"/>
        </w:rPr>
        <w:t xml:space="preserve"> </w:t>
      </w:r>
    </w:p>
    <w:p w:rsidR="00245949" w:rsidRPr="001B2353" w:rsidRDefault="00245949" w:rsidP="00357BFD">
      <w:pPr>
        <w:pStyle w:val="Default"/>
        <w:spacing w:line="360" w:lineRule="auto"/>
        <w:rPr>
          <w:rFonts w:asciiTheme="minorHAnsi" w:hAnsiTheme="minorHAnsi"/>
          <w:color w:val="auto"/>
          <w:sz w:val="22"/>
          <w:szCs w:val="22"/>
        </w:rPr>
      </w:pPr>
    </w:p>
    <w:p w:rsidR="00245949" w:rsidRPr="001B2353" w:rsidRDefault="001B5049" w:rsidP="00357BFD">
      <w:pPr>
        <w:pStyle w:val="Default"/>
        <w:spacing w:line="360" w:lineRule="auto"/>
        <w:ind w:firstLine="357"/>
        <w:jc w:val="both"/>
        <w:rPr>
          <w:rFonts w:asciiTheme="minorHAnsi" w:hAnsiTheme="minorHAnsi"/>
          <w:color w:val="auto"/>
          <w:sz w:val="22"/>
          <w:szCs w:val="22"/>
        </w:rPr>
      </w:pPr>
      <w:r w:rsidRPr="001B2353">
        <w:rPr>
          <w:rFonts w:asciiTheme="minorHAnsi" w:hAnsiTheme="minorHAnsi"/>
          <w:color w:val="auto"/>
          <w:sz w:val="22"/>
          <w:szCs w:val="22"/>
        </w:rPr>
        <w:lastRenderedPageBreak/>
        <w:tab/>
      </w:r>
      <w:r w:rsidR="00245949" w:rsidRPr="001B2353">
        <w:rPr>
          <w:rFonts w:asciiTheme="minorHAnsi" w:hAnsiTheme="minorHAnsi"/>
          <w:color w:val="auto"/>
          <w:sz w:val="22"/>
          <w:szCs w:val="22"/>
        </w:rPr>
        <w:t xml:space="preserve">Niezależnie od powyższego wzorem lat ubiegłych powiatowe urzędy pracy województwa dolnośląskiego będą składały wnioski o pozyskanie dodatkowych środków Funduszu Pracy pochodzących </w:t>
      </w:r>
      <w:r w:rsidR="00F1345F" w:rsidRPr="001B2353">
        <w:rPr>
          <w:rFonts w:asciiTheme="minorHAnsi" w:hAnsiTheme="minorHAnsi"/>
          <w:color w:val="auto"/>
          <w:sz w:val="22"/>
          <w:szCs w:val="22"/>
        </w:rPr>
        <w:br/>
      </w:r>
      <w:r w:rsidR="00245949" w:rsidRPr="001B2353">
        <w:rPr>
          <w:rFonts w:asciiTheme="minorHAnsi" w:hAnsiTheme="minorHAnsi"/>
          <w:color w:val="auto"/>
          <w:sz w:val="22"/>
          <w:szCs w:val="22"/>
        </w:rPr>
        <w:t xml:space="preserve">z rezerwy Ministra Pracy i Polityki Społecznej, zgodnie z </w:t>
      </w:r>
      <w:r w:rsidR="005B5DD9" w:rsidRPr="001B2353">
        <w:rPr>
          <w:rFonts w:asciiTheme="minorHAnsi" w:hAnsiTheme="minorHAnsi"/>
          <w:color w:val="auto"/>
          <w:sz w:val="22"/>
          <w:szCs w:val="22"/>
        </w:rPr>
        <w:t>zapisami dokumentu „Zasady ubiegania się o środki z rezerwy  Funduszu Pracy na finansowanie programów na rzecz promocji zatrudnienia, łagodzenia skutków bezrobocia i aktywizacji zawodowej”</w:t>
      </w:r>
      <w:r w:rsidR="00245949" w:rsidRPr="001B2353">
        <w:rPr>
          <w:rFonts w:asciiTheme="minorHAnsi" w:hAnsiTheme="minorHAnsi"/>
          <w:color w:val="auto"/>
          <w:sz w:val="22"/>
          <w:szCs w:val="22"/>
        </w:rPr>
        <w:t xml:space="preserve"> do których nabór został ogłoszony przez Ministra w 201</w:t>
      </w:r>
      <w:r w:rsidR="004E232B" w:rsidRPr="001B2353">
        <w:rPr>
          <w:rFonts w:asciiTheme="minorHAnsi" w:hAnsiTheme="minorHAnsi"/>
          <w:color w:val="auto"/>
          <w:sz w:val="22"/>
          <w:szCs w:val="22"/>
        </w:rPr>
        <w:t>4</w:t>
      </w:r>
      <w:r w:rsidR="00245949" w:rsidRPr="001B2353">
        <w:rPr>
          <w:rFonts w:asciiTheme="minorHAnsi" w:hAnsiTheme="minorHAnsi"/>
          <w:color w:val="auto"/>
          <w:sz w:val="22"/>
          <w:szCs w:val="22"/>
        </w:rPr>
        <w:t xml:space="preserve"> roku. </w:t>
      </w:r>
    </w:p>
    <w:p w:rsidR="00245949" w:rsidRPr="001B2353" w:rsidRDefault="00245949" w:rsidP="00357BFD">
      <w:pPr>
        <w:pStyle w:val="Default"/>
        <w:numPr>
          <w:ilvl w:val="0"/>
          <w:numId w:val="4"/>
        </w:numPr>
        <w:spacing w:line="360" w:lineRule="auto"/>
        <w:jc w:val="both"/>
        <w:rPr>
          <w:rFonts w:asciiTheme="minorHAnsi" w:hAnsiTheme="minorHAnsi"/>
          <w:color w:val="auto"/>
          <w:sz w:val="22"/>
          <w:szCs w:val="22"/>
        </w:rPr>
      </w:pPr>
      <w:r w:rsidRPr="001B2353">
        <w:rPr>
          <w:rFonts w:asciiTheme="minorHAnsi" w:hAnsiTheme="minorHAnsi"/>
          <w:color w:val="auto"/>
          <w:sz w:val="22"/>
          <w:szCs w:val="22"/>
        </w:rPr>
        <w:t xml:space="preserve">program zwiększający aktywność zawodową bezrobotnych </w:t>
      </w:r>
      <w:r w:rsidR="004E232B" w:rsidRPr="001B2353">
        <w:rPr>
          <w:rFonts w:asciiTheme="minorHAnsi" w:hAnsiTheme="minorHAnsi"/>
          <w:color w:val="auto"/>
          <w:sz w:val="22"/>
          <w:szCs w:val="22"/>
        </w:rPr>
        <w:t>powyżej 50 roku życia</w:t>
      </w:r>
      <w:r w:rsidRPr="001B2353">
        <w:rPr>
          <w:rFonts w:asciiTheme="minorHAnsi" w:hAnsiTheme="minorHAnsi"/>
          <w:color w:val="auto"/>
          <w:sz w:val="22"/>
          <w:szCs w:val="22"/>
        </w:rPr>
        <w:t xml:space="preserve">, </w:t>
      </w:r>
    </w:p>
    <w:p w:rsidR="00BE432C" w:rsidRPr="001B2353" w:rsidRDefault="00BE432C" w:rsidP="00357BFD">
      <w:pPr>
        <w:pStyle w:val="Default"/>
        <w:numPr>
          <w:ilvl w:val="0"/>
          <w:numId w:val="4"/>
        </w:numPr>
        <w:spacing w:line="360" w:lineRule="auto"/>
        <w:jc w:val="both"/>
        <w:rPr>
          <w:rFonts w:asciiTheme="minorHAnsi" w:hAnsiTheme="minorHAnsi"/>
          <w:color w:val="auto"/>
          <w:sz w:val="22"/>
          <w:szCs w:val="22"/>
        </w:rPr>
      </w:pPr>
      <w:r w:rsidRPr="001B2353">
        <w:rPr>
          <w:rFonts w:asciiTheme="minorHAnsi" w:hAnsiTheme="minorHAnsi"/>
          <w:color w:val="auto"/>
          <w:sz w:val="22"/>
          <w:szCs w:val="22"/>
        </w:rPr>
        <w:t>program skierowany do osób do 30 roku życia,</w:t>
      </w:r>
    </w:p>
    <w:p w:rsidR="004E232B" w:rsidRPr="001B2353" w:rsidRDefault="004E232B" w:rsidP="00357BFD">
      <w:pPr>
        <w:pStyle w:val="Default"/>
        <w:numPr>
          <w:ilvl w:val="0"/>
          <w:numId w:val="4"/>
        </w:numPr>
        <w:spacing w:line="360" w:lineRule="auto"/>
        <w:jc w:val="both"/>
        <w:rPr>
          <w:rFonts w:asciiTheme="minorHAnsi" w:hAnsiTheme="minorHAnsi"/>
          <w:color w:val="auto"/>
          <w:sz w:val="22"/>
          <w:szCs w:val="22"/>
        </w:rPr>
      </w:pPr>
      <w:r w:rsidRPr="001B2353">
        <w:rPr>
          <w:rFonts w:asciiTheme="minorHAnsi" w:hAnsiTheme="minorHAnsi"/>
          <w:color w:val="auto"/>
          <w:sz w:val="22"/>
          <w:szCs w:val="22"/>
        </w:rPr>
        <w:t xml:space="preserve"> program aktywizacji zawodowej bezrobotnych będących w szczególnej sytuacji na rynku pracy, określonych w art.49 ustawy,</w:t>
      </w:r>
    </w:p>
    <w:p w:rsidR="00245949" w:rsidRPr="001B2353" w:rsidRDefault="00245949" w:rsidP="00357BFD">
      <w:pPr>
        <w:pStyle w:val="Default"/>
        <w:numPr>
          <w:ilvl w:val="0"/>
          <w:numId w:val="4"/>
        </w:numPr>
        <w:spacing w:line="360" w:lineRule="auto"/>
        <w:jc w:val="both"/>
        <w:rPr>
          <w:rFonts w:asciiTheme="minorHAnsi" w:hAnsiTheme="minorHAnsi"/>
          <w:color w:val="auto"/>
          <w:sz w:val="22"/>
          <w:szCs w:val="22"/>
        </w:rPr>
      </w:pPr>
      <w:r w:rsidRPr="001B2353">
        <w:rPr>
          <w:rFonts w:asciiTheme="minorHAnsi" w:hAnsiTheme="minorHAnsi"/>
          <w:color w:val="auto"/>
          <w:sz w:val="22"/>
          <w:szCs w:val="22"/>
        </w:rPr>
        <w:t xml:space="preserve">program aktywizacji zawodowej bezrobotnych zwolnionych z pracy z przyczyn nie dotyczących pracowników oraz pracowników objętych zwolnieniami monitorowanymi, </w:t>
      </w:r>
    </w:p>
    <w:p w:rsidR="00245949" w:rsidRPr="001B2353" w:rsidRDefault="00245949" w:rsidP="00357BFD">
      <w:pPr>
        <w:pStyle w:val="Default"/>
        <w:numPr>
          <w:ilvl w:val="0"/>
          <w:numId w:val="4"/>
        </w:numPr>
        <w:spacing w:line="360" w:lineRule="auto"/>
        <w:jc w:val="both"/>
        <w:rPr>
          <w:rFonts w:asciiTheme="minorHAnsi" w:hAnsiTheme="minorHAnsi"/>
          <w:color w:val="auto"/>
          <w:sz w:val="22"/>
          <w:szCs w:val="22"/>
        </w:rPr>
      </w:pPr>
      <w:r w:rsidRPr="001B2353">
        <w:rPr>
          <w:rFonts w:asciiTheme="minorHAnsi" w:hAnsiTheme="minorHAnsi"/>
          <w:color w:val="auto"/>
          <w:sz w:val="22"/>
          <w:szCs w:val="22"/>
        </w:rPr>
        <w:t xml:space="preserve">program związany z aktywizacją zawodową osób bezrobotnych na terenach, na których miały miejsce klęski żywiołowe, </w:t>
      </w:r>
    </w:p>
    <w:p w:rsidR="004E232B" w:rsidRPr="001B2353" w:rsidRDefault="004E232B" w:rsidP="00357BFD">
      <w:pPr>
        <w:pStyle w:val="Default"/>
        <w:numPr>
          <w:ilvl w:val="0"/>
          <w:numId w:val="4"/>
        </w:numPr>
        <w:spacing w:line="360" w:lineRule="auto"/>
        <w:jc w:val="both"/>
        <w:rPr>
          <w:rFonts w:asciiTheme="minorHAnsi" w:hAnsiTheme="minorHAnsi"/>
          <w:color w:val="auto"/>
          <w:sz w:val="22"/>
          <w:szCs w:val="22"/>
        </w:rPr>
      </w:pPr>
      <w:r w:rsidRPr="001B2353">
        <w:rPr>
          <w:rFonts w:asciiTheme="minorHAnsi" w:hAnsiTheme="minorHAnsi"/>
          <w:color w:val="auto"/>
          <w:sz w:val="22"/>
          <w:szCs w:val="22"/>
        </w:rPr>
        <w:t>program wspierania tworzenia i przystępowania do spółdzielni socjalnych</w:t>
      </w:r>
      <w:r w:rsidR="00003E3D">
        <w:rPr>
          <w:rFonts w:asciiTheme="minorHAnsi" w:hAnsiTheme="minorHAnsi"/>
          <w:color w:val="auto"/>
          <w:sz w:val="22"/>
          <w:szCs w:val="22"/>
        </w:rPr>
        <w:t>,</w:t>
      </w:r>
    </w:p>
    <w:p w:rsidR="00245949" w:rsidRPr="001B2353" w:rsidRDefault="004E232B" w:rsidP="00357BFD">
      <w:pPr>
        <w:pStyle w:val="Default"/>
        <w:numPr>
          <w:ilvl w:val="0"/>
          <w:numId w:val="4"/>
        </w:numPr>
        <w:spacing w:line="360" w:lineRule="auto"/>
        <w:jc w:val="both"/>
        <w:rPr>
          <w:rFonts w:asciiTheme="minorHAnsi" w:hAnsiTheme="minorHAnsi"/>
          <w:color w:val="auto"/>
          <w:sz w:val="22"/>
          <w:szCs w:val="22"/>
        </w:rPr>
      </w:pPr>
      <w:r w:rsidRPr="001B2353">
        <w:rPr>
          <w:rFonts w:asciiTheme="minorHAnsi" w:hAnsiTheme="minorHAnsi"/>
          <w:color w:val="auto"/>
          <w:sz w:val="22"/>
          <w:szCs w:val="22"/>
        </w:rPr>
        <w:t>programy specjalne</w:t>
      </w:r>
      <w:r w:rsidR="00003E3D">
        <w:rPr>
          <w:rFonts w:asciiTheme="minorHAnsi" w:hAnsiTheme="minorHAnsi"/>
          <w:color w:val="auto"/>
          <w:sz w:val="22"/>
          <w:szCs w:val="22"/>
        </w:rPr>
        <w:t>,</w:t>
      </w:r>
    </w:p>
    <w:p w:rsidR="00245949" w:rsidRPr="00680B2E" w:rsidRDefault="004E232B" w:rsidP="00357BFD">
      <w:pPr>
        <w:pStyle w:val="Default"/>
        <w:numPr>
          <w:ilvl w:val="0"/>
          <w:numId w:val="4"/>
        </w:numPr>
        <w:spacing w:line="360" w:lineRule="auto"/>
        <w:jc w:val="both"/>
        <w:rPr>
          <w:rFonts w:asciiTheme="minorHAnsi" w:hAnsiTheme="minorHAnsi"/>
          <w:color w:val="auto"/>
          <w:sz w:val="22"/>
          <w:szCs w:val="22"/>
        </w:rPr>
      </w:pPr>
      <w:r w:rsidRPr="001B2353">
        <w:rPr>
          <w:rFonts w:asciiTheme="minorHAnsi" w:hAnsiTheme="minorHAnsi"/>
          <w:color w:val="auto"/>
          <w:sz w:val="22"/>
          <w:szCs w:val="22"/>
        </w:rPr>
        <w:t>projekty pilotażowe</w:t>
      </w:r>
      <w:r w:rsidR="00003E3D">
        <w:rPr>
          <w:rFonts w:asciiTheme="minorHAnsi" w:hAnsiTheme="minorHAnsi"/>
          <w:color w:val="auto"/>
          <w:sz w:val="22"/>
          <w:szCs w:val="22"/>
        </w:rPr>
        <w:t>.</w:t>
      </w:r>
    </w:p>
    <w:p w:rsidR="00CB5404" w:rsidRPr="001B2353" w:rsidRDefault="001B5049" w:rsidP="00357BFD">
      <w:pPr>
        <w:pStyle w:val="Default"/>
        <w:spacing w:line="360" w:lineRule="auto"/>
        <w:ind w:firstLine="360"/>
        <w:jc w:val="both"/>
        <w:rPr>
          <w:rFonts w:asciiTheme="minorHAnsi" w:hAnsiTheme="minorHAnsi"/>
          <w:color w:val="auto"/>
          <w:sz w:val="22"/>
          <w:szCs w:val="22"/>
        </w:rPr>
      </w:pPr>
      <w:r w:rsidRPr="001B2353">
        <w:rPr>
          <w:rFonts w:asciiTheme="minorHAnsi" w:hAnsiTheme="minorHAnsi"/>
          <w:color w:val="auto"/>
          <w:sz w:val="22"/>
          <w:szCs w:val="22"/>
        </w:rPr>
        <w:tab/>
      </w:r>
      <w:r w:rsidR="00245949" w:rsidRPr="001B2353">
        <w:rPr>
          <w:rFonts w:asciiTheme="minorHAnsi" w:hAnsiTheme="minorHAnsi"/>
          <w:color w:val="auto"/>
          <w:sz w:val="22"/>
          <w:szCs w:val="22"/>
        </w:rPr>
        <w:t>Podkreślić należy, że z uwagi na zmniejszony poziom środków Funduszu Pracy na aktywizację bezrobotnych na 201</w:t>
      </w:r>
      <w:r w:rsidR="001B2353" w:rsidRPr="001B2353">
        <w:rPr>
          <w:rFonts w:asciiTheme="minorHAnsi" w:hAnsiTheme="minorHAnsi"/>
          <w:color w:val="auto"/>
          <w:sz w:val="22"/>
          <w:szCs w:val="22"/>
        </w:rPr>
        <w:t>4</w:t>
      </w:r>
      <w:r w:rsidR="00245949" w:rsidRPr="001B2353">
        <w:rPr>
          <w:rFonts w:asciiTheme="minorHAnsi" w:hAnsiTheme="minorHAnsi"/>
          <w:color w:val="auto"/>
          <w:sz w:val="22"/>
          <w:szCs w:val="22"/>
        </w:rPr>
        <w:t xml:space="preserve"> rok </w:t>
      </w:r>
      <w:r w:rsidR="00BE432C" w:rsidRPr="001B2353">
        <w:rPr>
          <w:rFonts w:asciiTheme="minorHAnsi" w:hAnsiTheme="minorHAnsi"/>
          <w:color w:val="auto"/>
          <w:sz w:val="22"/>
          <w:szCs w:val="22"/>
        </w:rPr>
        <w:t>podstawowym wymogiem starania się o środki z rezerwy Ministra będzie projektowanie przemyślanych, kompleksowych działań pozwalających osiągnąć wysoka skuteczność zatrudnieniową o wskaźnikach efektywności zatrudnieniowej, nie niższych niż 5</w:t>
      </w:r>
      <w:r w:rsidR="00003E3D">
        <w:rPr>
          <w:rFonts w:asciiTheme="minorHAnsi" w:hAnsiTheme="minorHAnsi"/>
          <w:color w:val="auto"/>
          <w:sz w:val="22"/>
          <w:szCs w:val="22"/>
        </w:rPr>
        <w:t>5,7 %</w:t>
      </w:r>
      <w:r w:rsidR="001B2353" w:rsidRPr="001B2353">
        <w:rPr>
          <w:rFonts w:asciiTheme="minorHAnsi" w:hAnsiTheme="minorHAnsi"/>
          <w:color w:val="auto"/>
          <w:sz w:val="22"/>
          <w:szCs w:val="22"/>
        </w:rPr>
        <w:t xml:space="preserve"> </w:t>
      </w:r>
      <w:r w:rsidR="00003E3D">
        <w:rPr>
          <w:rFonts w:asciiTheme="minorHAnsi" w:hAnsiTheme="minorHAnsi"/>
          <w:color w:val="auto"/>
          <w:sz w:val="22"/>
          <w:szCs w:val="22"/>
        </w:rPr>
        <w:t>oraz</w:t>
      </w:r>
      <w:r w:rsidR="001B2353" w:rsidRPr="001B2353">
        <w:rPr>
          <w:rFonts w:asciiTheme="minorHAnsi" w:hAnsiTheme="minorHAnsi"/>
          <w:color w:val="auto"/>
          <w:sz w:val="22"/>
          <w:szCs w:val="22"/>
        </w:rPr>
        <w:t xml:space="preserve"> efektywnoś</w:t>
      </w:r>
      <w:r w:rsidR="00003E3D">
        <w:rPr>
          <w:rFonts w:asciiTheme="minorHAnsi" w:hAnsiTheme="minorHAnsi"/>
          <w:color w:val="auto"/>
          <w:sz w:val="22"/>
          <w:szCs w:val="22"/>
        </w:rPr>
        <w:t xml:space="preserve">ci </w:t>
      </w:r>
      <w:r w:rsidR="001B2353" w:rsidRPr="001B2353">
        <w:rPr>
          <w:rFonts w:asciiTheme="minorHAnsi" w:hAnsiTheme="minorHAnsi"/>
          <w:color w:val="auto"/>
          <w:sz w:val="22"/>
          <w:szCs w:val="22"/>
        </w:rPr>
        <w:t>kosztow</w:t>
      </w:r>
      <w:r w:rsidR="00003E3D">
        <w:rPr>
          <w:rFonts w:asciiTheme="minorHAnsi" w:hAnsiTheme="minorHAnsi"/>
          <w:color w:val="auto"/>
          <w:sz w:val="22"/>
          <w:szCs w:val="22"/>
        </w:rPr>
        <w:t xml:space="preserve">ej </w:t>
      </w:r>
      <w:r w:rsidR="001B2353" w:rsidRPr="001B2353">
        <w:rPr>
          <w:rFonts w:asciiTheme="minorHAnsi" w:hAnsiTheme="minorHAnsi"/>
          <w:color w:val="auto"/>
          <w:sz w:val="22"/>
          <w:szCs w:val="22"/>
        </w:rPr>
        <w:t xml:space="preserve"> nie przekr</w:t>
      </w:r>
      <w:r w:rsidR="00003E3D">
        <w:rPr>
          <w:rFonts w:asciiTheme="minorHAnsi" w:hAnsiTheme="minorHAnsi"/>
          <w:color w:val="auto"/>
          <w:sz w:val="22"/>
          <w:szCs w:val="22"/>
        </w:rPr>
        <w:t>aczającej</w:t>
      </w:r>
      <w:r w:rsidR="001B2353" w:rsidRPr="001B2353">
        <w:rPr>
          <w:rFonts w:asciiTheme="minorHAnsi" w:hAnsiTheme="minorHAnsi"/>
          <w:color w:val="auto"/>
          <w:sz w:val="22"/>
          <w:szCs w:val="22"/>
        </w:rPr>
        <w:t xml:space="preserve"> 10 000 zł.</w:t>
      </w:r>
    </w:p>
    <w:p w:rsidR="00F1345F" w:rsidRPr="001B2353" w:rsidRDefault="00F1345F">
      <w:pPr>
        <w:spacing w:after="200" w:line="276" w:lineRule="auto"/>
        <w:rPr>
          <w:rFonts w:asciiTheme="minorHAnsi" w:eastAsiaTheme="minorHAnsi" w:hAnsiTheme="minorHAnsi" w:cs="Calibri"/>
          <w:b/>
          <w:bCs/>
          <w:color w:val="000000"/>
          <w:sz w:val="22"/>
          <w:szCs w:val="22"/>
          <w:lang w:eastAsia="en-US"/>
        </w:rPr>
      </w:pPr>
    </w:p>
    <w:p w:rsidR="00003E3D" w:rsidRDefault="00003E3D" w:rsidP="00357BFD">
      <w:pPr>
        <w:pStyle w:val="Default"/>
        <w:spacing w:line="360" w:lineRule="auto"/>
        <w:jc w:val="center"/>
        <w:rPr>
          <w:rFonts w:asciiTheme="minorHAnsi" w:hAnsiTheme="minorHAnsi"/>
          <w:b/>
          <w:bCs/>
          <w:sz w:val="22"/>
          <w:szCs w:val="22"/>
        </w:rPr>
      </w:pPr>
    </w:p>
    <w:p w:rsidR="00003E3D" w:rsidRDefault="00003E3D" w:rsidP="00357BFD">
      <w:pPr>
        <w:pStyle w:val="Default"/>
        <w:spacing w:line="360" w:lineRule="auto"/>
        <w:jc w:val="center"/>
        <w:rPr>
          <w:rFonts w:asciiTheme="minorHAnsi" w:hAnsiTheme="minorHAnsi"/>
          <w:b/>
          <w:bCs/>
          <w:sz w:val="22"/>
          <w:szCs w:val="22"/>
        </w:rPr>
      </w:pPr>
    </w:p>
    <w:p w:rsidR="00003E3D" w:rsidRDefault="00003E3D" w:rsidP="00357BFD">
      <w:pPr>
        <w:pStyle w:val="Default"/>
        <w:spacing w:line="360" w:lineRule="auto"/>
        <w:jc w:val="center"/>
        <w:rPr>
          <w:rFonts w:asciiTheme="minorHAnsi" w:hAnsiTheme="minorHAnsi"/>
          <w:b/>
          <w:bCs/>
          <w:sz w:val="22"/>
          <w:szCs w:val="22"/>
        </w:rPr>
      </w:pPr>
    </w:p>
    <w:p w:rsidR="00003E3D" w:rsidRDefault="00003E3D" w:rsidP="00357BFD">
      <w:pPr>
        <w:pStyle w:val="Default"/>
        <w:spacing w:line="360" w:lineRule="auto"/>
        <w:jc w:val="center"/>
        <w:rPr>
          <w:rFonts w:asciiTheme="minorHAnsi" w:hAnsiTheme="minorHAnsi"/>
          <w:b/>
          <w:bCs/>
          <w:sz w:val="22"/>
          <w:szCs w:val="22"/>
        </w:rPr>
      </w:pPr>
    </w:p>
    <w:p w:rsidR="00003E3D" w:rsidRDefault="00003E3D" w:rsidP="00357BFD">
      <w:pPr>
        <w:pStyle w:val="Default"/>
        <w:spacing w:line="360" w:lineRule="auto"/>
        <w:jc w:val="center"/>
        <w:rPr>
          <w:rFonts w:asciiTheme="minorHAnsi" w:hAnsiTheme="minorHAnsi"/>
          <w:b/>
          <w:bCs/>
          <w:sz w:val="22"/>
          <w:szCs w:val="22"/>
        </w:rPr>
      </w:pPr>
    </w:p>
    <w:p w:rsidR="00003E3D" w:rsidRDefault="00003E3D" w:rsidP="00357BFD">
      <w:pPr>
        <w:pStyle w:val="Default"/>
        <w:spacing w:line="360" w:lineRule="auto"/>
        <w:jc w:val="center"/>
        <w:rPr>
          <w:rFonts w:asciiTheme="minorHAnsi" w:hAnsiTheme="minorHAnsi"/>
          <w:b/>
          <w:bCs/>
          <w:sz w:val="22"/>
          <w:szCs w:val="22"/>
        </w:rPr>
      </w:pPr>
    </w:p>
    <w:p w:rsidR="00003E3D" w:rsidRDefault="00003E3D" w:rsidP="00357BFD">
      <w:pPr>
        <w:pStyle w:val="Default"/>
        <w:spacing w:line="360" w:lineRule="auto"/>
        <w:jc w:val="center"/>
        <w:rPr>
          <w:rFonts w:asciiTheme="minorHAnsi" w:hAnsiTheme="minorHAnsi"/>
          <w:b/>
          <w:bCs/>
          <w:sz w:val="22"/>
          <w:szCs w:val="22"/>
        </w:rPr>
      </w:pPr>
    </w:p>
    <w:p w:rsidR="00003E3D" w:rsidRDefault="00003E3D" w:rsidP="00357BFD">
      <w:pPr>
        <w:pStyle w:val="Default"/>
        <w:spacing w:line="360" w:lineRule="auto"/>
        <w:jc w:val="center"/>
        <w:rPr>
          <w:rFonts w:asciiTheme="minorHAnsi" w:hAnsiTheme="minorHAnsi"/>
          <w:b/>
          <w:bCs/>
          <w:sz w:val="22"/>
          <w:szCs w:val="22"/>
        </w:rPr>
      </w:pPr>
    </w:p>
    <w:p w:rsidR="00003E3D" w:rsidRDefault="00003E3D" w:rsidP="00357BFD">
      <w:pPr>
        <w:pStyle w:val="Default"/>
        <w:spacing w:line="360" w:lineRule="auto"/>
        <w:jc w:val="center"/>
        <w:rPr>
          <w:rFonts w:asciiTheme="minorHAnsi" w:hAnsiTheme="minorHAnsi"/>
          <w:b/>
          <w:bCs/>
          <w:sz w:val="22"/>
          <w:szCs w:val="22"/>
        </w:rPr>
      </w:pPr>
    </w:p>
    <w:p w:rsidR="00003E3D" w:rsidRDefault="00003E3D" w:rsidP="00357BFD">
      <w:pPr>
        <w:pStyle w:val="Default"/>
        <w:spacing w:line="360" w:lineRule="auto"/>
        <w:jc w:val="center"/>
        <w:rPr>
          <w:rFonts w:asciiTheme="minorHAnsi" w:hAnsiTheme="minorHAnsi"/>
          <w:b/>
          <w:bCs/>
          <w:sz w:val="22"/>
          <w:szCs w:val="22"/>
        </w:rPr>
      </w:pPr>
    </w:p>
    <w:p w:rsidR="00003E3D" w:rsidRDefault="00003E3D" w:rsidP="00357BFD">
      <w:pPr>
        <w:pStyle w:val="Default"/>
        <w:spacing w:line="360" w:lineRule="auto"/>
        <w:jc w:val="center"/>
        <w:rPr>
          <w:rFonts w:asciiTheme="minorHAnsi" w:hAnsiTheme="minorHAnsi"/>
          <w:b/>
          <w:bCs/>
          <w:sz w:val="22"/>
          <w:szCs w:val="22"/>
        </w:rPr>
      </w:pPr>
    </w:p>
    <w:p w:rsidR="00003E3D" w:rsidRDefault="00003E3D" w:rsidP="00357BFD">
      <w:pPr>
        <w:pStyle w:val="Default"/>
        <w:spacing w:line="360" w:lineRule="auto"/>
        <w:jc w:val="center"/>
        <w:rPr>
          <w:rFonts w:asciiTheme="minorHAnsi" w:hAnsiTheme="minorHAnsi"/>
          <w:b/>
          <w:bCs/>
          <w:sz w:val="22"/>
          <w:szCs w:val="22"/>
        </w:rPr>
      </w:pPr>
    </w:p>
    <w:p w:rsidR="00003E3D" w:rsidRDefault="00003E3D" w:rsidP="00357BFD">
      <w:pPr>
        <w:pStyle w:val="Default"/>
        <w:spacing w:line="360" w:lineRule="auto"/>
        <w:jc w:val="center"/>
        <w:rPr>
          <w:rFonts w:asciiTheme="minorHAnsi" w:hAnsiTheme="minorHAnsi"/>
          <w:b/>
          <w:bCs/>
          <w:sz w:val="22"/>
          <w:szCs w:val="22"/>
        </w:rPr>
      </w:pPr>
    </w:p>
    <w:p w:rsidR="00003E3D" w:rsidRDefault="00003E3D" w:rsidP="00357BFD">
      <w:pPr>
        <w:pStyle w:val="Default"/>
        <w:spacing w:line="360" w:lineRule="auto"/>
        <w:jc w:val="center"/>
        <w:rPr>
          <w:rFonts w:asciiTheme="minorHAnsi" w:hAnsiTheme="minorHAnsi"/>
          <w:b/>
          <w:bCs/>
          <w:sz w:val="22"/>
          <w:szCs w:val="22"/>
        </w:rPr>
      </w:pPr>
    </w:p>
    <w:p w:rsidR="00801830" w:rsidRPr="001B2353" w:rsidRDefault="00801830" w:rsidP="00357BFD">
      <w:pPr>
        <w:pStyle w:val="Default"/>
        <w:spacing w:line="360" w:lineRule="auto"/>
        <w:jc w:val="center"/>
        <w:rPr>
          <w:rFonts w:asciiTheme="minorHAnsi" w:hAnsiTheme="minorHAnsi"/>
          <w:sz w:val="22"/>
          <w:szCs w:val="22"/>
        </w:rPr>
      </w:pPr>
      <w:r w:rsidRPr="001B2353">
        <w:rPr>
          <w:rFonts w:asciiTheme="minorHAnsi" w:hAnsiTheme="minorHAnsi"/>
          <w:b/>
          <w:bCs/>
          <w:sz w:val="22"/>
          <w:szCs w:val="22"/>
        </w:rPr>
        <w:lastRenderedPageBreak/>
        <w:t>ROZDZIAŁ 4</w:t>
      </w:r>
    </w:p>
    <w:p w:rsidR="001B5049" w:rsidRPr="001B2353" w:rsidRDefault="001B5049" w:rsidP="001B5049">
      <w:pPr>
        <w:pStyle w:val="Default"/>
        <w:spacing w:line="360" w:lineRule="auto"/>
        <w:jc w:val="center"/>
        <w:rPr>
          <w:rFonts w:asciiTheme="minorHAnsi" w:hAnsiTheme="minorHAnsi"/>
          <w:b/>
          <w:bCs/>
          <w:sz w:val="22"/>
          <w:szCs w:val="22"/>
        </w:rPr>
      </w:pPr>
    </w:p>
    <w:p w:rsidR="00801830" w:rsidRPr="001B2353" w:rsidRDefault="00801830" w:rsidP="001B5049">
      <w:pPr>
        <w:pStyle w:val="Default"/>
        <w:spacing w:line="360" w:lineRule="auto"/>
        <w:jc w:val="center"/>
        <w:rPr>
          <w:rFonts w:asciiTheme="minorHAnsi" w:hAnsiTheme="minorHAnsi"/>
          <w:sz w:val="22"/>
          <w:szCs w:val="22"/>
        </w:rPr>
      </w:pPr>
      <w:r w:rsidRPr="001B2353">
        <w:rPr>
          <w:rFonts w:asciiTheme="minorHAnsi" w:hAnsiTheme="minorHAnsi"/>
          <w:b/>
          <w:bCs/>
          <w:sz w:val="22"/>
          <w:szCs w:val="22"/>
        </w:rPr>
        <w:t>PARTNERSTWO W REALIZACJI REGIONALNEGO PLANU DZIAŁAŃ ORAZ MONITOROWANIE REALIZOWANYCH ZADAŃ</w:t>
      </w:r>
    </w:p>
    <w:p w:rsidR="00C72D82" w:rsidRPr="001B2353" w:rsidRDefault="00C72D82" w:rsidP="00357BFD">
      <w:pPr>
        <w:pStyle w:val="Default"/>
        <w:spacing w:line="360" w:lineRule="auto"/>
        <w:jc w:val="both"/>
        <w:rPr>
          <w:rFonts w:asciiTheme="minorHAnsi" w:hAnsiTheme="minorHAnsi"/>
          <w:sz w:val="22"/>
          <w:szCs w:val="22"/>
        </w:rPr>
      </w:pPr>
    </w:p>
    <w:p w:rsidR="00801830" w:rsidRPr="001B2353" w:rsidRDefault="00801830" w:rsidP="006A4EF1">
      <w:pPr>
        <w:pStyle w:val="Default"/>
        <w:spacing w:line="360" w:lineRule="auto"/>
        <w:ind w:firstLine="709"/>
        <w:jc w:val="both"/>
        <w:rPr>
          <w:rFonts w:asciiTheme="minorHAnsi" w:hAnsiTheme="minorHAnsi"/>
          <w:sz w:val="22"/>
          <w:szCs w:val="22"/>
        </w:rPr>
      </w:pPr>
      <w:r w:rsidRPr="001B2353">
        <w:rPr>
          <w:rFonts w:asciiTheme="minorHAnsi" w:hAnsiTheme="minorHAnsi"/>
          <w:sz w:val="22"/>
          <w:szCs w:val="22"/>
        </w:rPr>
        <w:t>Dolnośląski Regionalny Plan Działań na Rzecz Zatrudnienia na 201</w:t>
      </w:r>
      <w:r w:rsidR="001B2353" w:rsidRPr="001B2353">
        <w:rPr>
          <w:rFonts w:asciiTheme="minorHAnsi" w:hAnsiTheme="minorHAnsi"/>
          <w:sz w:val="22"/>
          <w:szCs w:val="22"/>
        </w:rPr>
        <w:t>4</w:t>
      </w:r>
      <w:r w:rsidRPr="001B2353">
        <w:rPr>
          <w:rFonts w:asciiTheme="minorHAnsi" w:hAnsiTheme="minorHAnsi"/>
          <w:sz w:val="22"/>
          <w:szCs w:val="22"/>
        </w:rPr>
        <w:t xml:space="preserve"> rok opracowany został po przeprowadzeniu konsultacji z powiatowymi jednostkami samorządu terytorialnego oraz partnerami społecznymi. </w:t>
      </w:r>
      <w:r w:rsidR="00C72D82" w:rsidRPr="001B2353">
        <w:rPr>
          <w:rFonts w:asciiTheme="minorHAnsi" w:hAnsiTheme="minorHAnsi"/>
          <w:sz w:val="22"/>
          <w:szCs w:val="22"/>
        </w:rPr>
        <w:t>Zadania ujęte</w:t>
      </w:r>
      <w:r w:rsidRPr="001B2353">
        <w:rPr>
          <w:rFonts w:asciiTheme="minorHAnsi" w:hAnsiTheme="minorHAnsi"/>
          <w:sz w:val="22"/>
          <w:szCs w:val="22"/>
        </w:rPr>
        <w:t xml:space="preserve"> </w:t>
      </w:r>
      <w:r w:rsidR="001B2353" w:rsidRPr="001B2353">
        <w:rPr>
          <w:rFonts w:asciiTheme="minorHAnsi" w:hAnsiTheme="minorHAnsi"/>
          <w:sz w:val="22"/>
          <w:szCs w:val="22"/>
        </w:rPr>
        <w:t>w przedmiotowym dokumencie</w:t>
      </w:r>
      <w:r w:rsidRPr="001B2353">
        <w:rPr>
          <w:rFonts w:asciiTheme="minorHAnsi" w:hAnsiTheme="minorHAnsi"/>
          <w:sz w:val="22"/>
          <w:szCs w:val="22"/>
        </w:rPr>
        <w:t xml:space="preserve"> realizowane będą zgodnie z zasadą partnerstwa. </w:t>
      </w:r>
    </w:p>
    <w:p w:rsidR="00801830" w:rsidRPr="001B2353" w:rsidRDefault="00801830" w:rsidP="00357BFD">
      <w:pPr>
        <w:pStyle w:val="Default"/>
        <w:spacing w:line="360" w:lineRule="auto"/>
        <w:ind w:firstLine="708"/>
        <w:jc w:val="both"/>
        <w:rPr>
          <w:rFonts w:asciiTheme="minorHAnsi" w:hAnsiTheme="minorHAnsi"/>
          <w:sz w:val="22"/>
          <w:szCs w:val="22"/>
        </w:rPr>
      </w:pPr>
      <w:r w:rsidRPr="001B2353">
        <w:rPr>
          <w:rFonts w:asciiTheme="minorHAnsi" w:hAnsiTheme="minorHAnsi"/>
          <w:sz w:val="22"/>
          <w:szCs w:val="22"/>
        </w:rPr>
        <w:t>Ważna rola na dolnośląskim rynku pracy obok publicznych służb zatrudnienia przypada Ochotniczym Hufcom Pracy, agencjom zatrudnienia, instytucjom szkoleniowym oraz organizacjom pozarządowym. Instytucjami wspierającymi publiczne służby zatrudnienia na dolnośląskim rynku pracy będą również Wojewódzka Rada Zatrudnienia, a także jednostki działające na rzecz aktywizacji zawodowej osób wchodzących na rynek pracy</w:t>
      </w:r>
      <w:r w:rsidR="00C72D82" w:rsidRPr="001B2353">
        <w:rPr>
          <w:rFonts w:asciiTheme="minorHAnsi" w:hAnsiTheme="minorHAnsi"/>
          <w:sz w:val="22"/>
          <w:szCs w:val="22"/>
        </w:rPr>
        <w:t>.</w:t>
      </w:r>
      <w:r w:rsidRPr="001B2353">
        <w:rPr>
          <w:rFonts w:asciiTheme="minorHAnsi" w:hAnsiTheme="minorHAnsi"/>
          <w:sz w:val="22"/>
          <w:szCs w:val="22"/>
        </w:rPr>
        <w:t xml:space="preserve"> </w:t>
      </w:r>
    </w:p>
    <w:p w:rsidR="00801830" w:rsidRPr="001B2353" w:rsidRDefault="00801830" w:rsidP="00357BFD">
      <w:pPr>
        <w:pStyle w:val="Default"/>
        <w:spacing w:line="360" w:lineRule="auto"/>
        <w:ind w:firstLine="708"/>
        <w:jc w:val="both"/>
        <w:rPr>
          <w:rFonts w:asciiTheme="minorHAnsi" w:hAnsiTheme="minorHAnsi"/>
          <w:sz w:val="22"/>
          <w:szCs w:val="22"/>
        </w:rPr>
      </w:pPr>
      <w:r w:rsidRPr="001B2353">
        <w:rPr>
          <w:rFonts w:asciiTheme="minorHAnsi" w:hAnsiTheme="minorHAnsi"/>
          <w:sz w:val="22"/>
          <w:szCs w:val="22"/>
        </w:rPr>
        <w:t>Istotnym elementem realizacji Regionalnego Planu Działań będzie jego promocja. Dolnośląski Regionalny Plan Działań na Rzecz Zatrudnienia na 201</w:t>
      </w:r>
      <w:r w:rsidR="001B2353" w:rsidRPr="001B2353">
        <w:rPr>
          <w:rFonts w:asciiTheme="minorHAnsi" w:hAnsiTheme="minorHAnsi"/>
          <w:sz w:val="22"/>
          <w:szCs w:val="22"/>
        </w:rPr>
        <w:t>4</w:t>
      </w:r>
      <w:r w:rsidRPr="001B2353">
        <w:rPr>
          <w:rFonts w:asciiTheme="minorHAnsi" w:hAnsiTheme="minorHAnsi"/>
          <w:sz w:val="22"/>
          <w:szCs w:val="22"/>
        </w:rPr>
        <w:t xml:space="preserve"> rok po zatwierdzeniu przez Zarząd Województwa zamieszczony zostanie na stronie internetowej DWUP oraz rozpowszechniony wśród instytucjonalnych partnerów rynku pracy. </w:t>
      </w:r>
    </w:p>
    <w:p w:rsidR="00801830" w:rsidRPr="001B2353" w:rsidRDefault="00801830" w:rsidP="00357BFD">
      <w:pPr>
        <w:pStyle w:val="Default"/>
        <w:spacing w:line="360" w:lineRule="auto"/>
        <w:ind w:firstLine="708"/>
        <w:jc w:val="both"/>
        <w:rPr>
          <w:rFonts w:asciiTheme="minorHAnsi" w:hAnsiTheme="minorHAnsi"/>
          <w:sz w:val="22"/>
          <w:szCs w:val="22"/>
        </w:rPr>
      </w:pPr>
      <w:r w:rsidRPr="001B2353">
        <w:rPr>
          <w:rFonts w:asciiTheme="minorHAnsi" w:hAnsiTheme="minorHAnsi"/>
          <w:sz w:val="22"/>
          <w:szCs w:val="22"/>
        </w:rPr>
        <w:t>Monitorowanie wykonania zadań zawartych w Dolnośląskim Regionalnym Planie Działań na Rzecz Zatrudnienia na 201</w:t>
      </w:r>
      <w:r w:rsidR="001B2353" w:rsidRPr="001B2353">
        <w:rPr>
          <w:rFonts w:asciiTheme="minorHAnsi" w:hAnsiTheme="minorHAnsi"/>
          <w:sz w:val="22"/>
          <w:szCs w:val="22"/>
        </w:rPr>
        <w:t>4</w:t>
      </w:r>
      <w:r w:rsidRPr="001B2353">
        <w:rPr>
          <w:rFonts w:asciiTheme="minorHAnsi" w:hAnsiTheme="minorHAnsi"/>
          <w:sz w:val="22"/>
          <w:szCs w:val="22"/>
        </w:rPr>
        <w:t xml:space="preserve"> rok prowadzone będzie przez Dolnośląski Wojewódzki Urząd Pracy w okresie rocznym. </w:t>
      </w:r>
    </w:p>
    <w:p w:rsidR="00801830" w:rsidRPr="001B2353" w:rsidRDefault="00801830" w:rsidP="00357BFD">
      <w:pPr>
        <w:pStyle w:val="Default"/>
        <w:spacing w:line="360" w:lineRule="auto"/>
        <w:ind w:firstLine="708"/>
        <w:jc w:val="both"/>
        <w:rPr>
          <w:rFonts w:asciiTheme="minorHAnsi" w:hAnsiTheme="minorHAnsi"/>
          <w:sz w:val="22"/>
          <w:szCs w:val="22"/>
        </w:rPr>
      </w:pPr>
      <w:r w:rsidRPr="001B2353">
        <w:rPr>
          <w:rFonts w:asciiTheme="minorHAnsi" w:hAnsiTheme="minorHAnsi"/>
          <w:sz w:val="22"/>
          <w:szCs w:val="22"/>
        </w:rPr>
        <w:t>Monitoring realizacji zadań ujętych w Dolnośląskim Regionalnym Planie Działań na Rzecz Zatrudnienia na 201</w:t>
      </w:r>
      <w:r w:rsidR="001B2353" w:rsidRPr="001B2353">
        <w:rPr>
          <w:rFonts w:asciiTheme="minorHAnsi" w:hAnsiTheme="minorHAnsi"/>
          <w:sz w:val="22"/>
          <w:szCs w:val="22"/>
        </w:rPr>
        <w:t>4</w:t>
      </w:r>
      <w:r w:rsidRPr="001B2353">
        <w:rPr>
          <w:rFonts w:asciiTheme="minorHAnsi" w:hAnsiTheme="minorHAnsi"/>
          <w:sz w:val="22"/>
          <w:szCs w:val="22"/>
        </w:rPr>
        <w:t xml:space="preserve"> r. prowadzony będzie w oparciu o zestaw</w:t>
      </w:r>
      <w:r w:rsidR="00C72D82" w:rsidRPr="001B2353">
        <w:rPr>
          <w:rFonts w:asciiTheme="minorHAnsi" w:hAnsiTheme="minorHAnsi"/>
          <w:sz w:val="22"/>
          <w:szCs w:val="22"/>
        </w:rPr>
        <w:t xml:space="preserve"> </w:t>
      </w:r>
      <w:r w:rsidR="004F2239" w:rsidRPr="001B2353">
        <w:rPr>
          <w:rFonts w:asciiTheme="minorHAnsi" w:hAnsiTheme="minorHAnsi"/>
          <w:sz w:val="22"/>
          <w:szCs w:val="22"/>
        </w:rPr>
        <w:t>wskaźników</w:t>
      </w:r>
      <w:r w:rsidR="00C25203" w:rsidRPr="001B2353">
        <w:rPr>
          <w:rFonts w:asciiTheme="minorHAnsi" w:hAnsiTheme="minorHAnsi"/>
          <w:sz w:val="22"/>
          <w:szCs w:val="22"/>
        </w:rPr>
        <w:t>. Wskaźniki podstawowe</w:t>
      </w:r>
      <w:r w:rsidRPr="001B2353">
        <w:rPr>
          <w:rFonts w:asciiTheme="minorHAnsi" w:hAnsiTheme="minorHAnsi"/>
          <w:sz w:val="22"/>
          <w:szCs w:val="22"/>
        </w:rPr>
        <w:t xml:space="preserve"> odnos</w:t>
      </w:r>
      <w:r w:rsidR="004F2239" w:rsidRPr="001B2353">
        <w:rPr>
          <w:rFonts w:asciiTheme="minorHAnsi" w:hAnsiTheme="minorHAnsi"/>
          <w:sz w:val="22"/>
          <w:szCs w:val="22"/>
        </w:rPr>
        <w:t>ić się będą</w:t>
      </w:r>
      <w:r w:rsidRPr="001B2353">
        <w:rPr>
          <w:rFonts w:asciiTheme="minorHAnsi" w:hAnsiTheme="minorHAnsi"/>
          <w:sz w:val="22"/>
          <w:szCs w:val="22"/>
        </w:rPr>
        <w:t xml:space="preserve"> do sytuacji na dolnośląskim rynku pracy</w:t>
      </w:r>
      <w:r w:rsidR="00C25203" w:rsidRPr="001B2353">
        <w:rPr>
          <w:rFonts w:asciiTheme="minorHAnsi" w:hAnsiTheme="minorHAnsi"/>
          <w:sz w:val="22"/>
          <w:szCs w:val="22"/>
        </w:rPr>
        <w:t xml:space="preserve"> i stopnia realizacji celów Strategii UE 2020.</w:t>
      </w:r>
      <w:r w:rsidRPr="001B2353">
        <w:rPr>
          <w:rFonts w:asciiTheme="minorHAnsi" w:hAnsiTheme="minorHAnsi"/>
          <w:sz w:val="22"/>
          <w:szCs w:val="22"/>
        </w:rPr>
        <w:t xml:space="preserve"> </w:t>
      </w:r>
      <w:r w:rsidR="00C25203" w:rsidRPr="001B2353">
        <w:rPr>
          <w:rFonts w:asciiTheme="minorHAnsi" w:hAnsiTheme="minorHAnsi"/>
          <w:sz w:val="22"/>
          <w:szCs w:val="22"/>
        </w:rPr>
        <w:t>W</w:t>
      </w:r>
      <w:r w:rsidRPr="001B2353">
        <w:rPr>
          <w:rFonts w:asciiTheme="minorHAnsi" w:hAnsiTheme="minorHAnsi"/>
          <w:sz w:val="22"/>
          <w:szCs w:val="22"/>
        </w:rPr>
        <w:t>skaźnik</w:t>
      </w:r>
      <w:r w:rsidR="00C25203" w:rsidRPr="001B2353">
        <w:rPr>
          <w:rFonts w:asciiTheme="minorHAnsi" w:hAnsiTheme="minorHAnsi"/>
          <w:sz w:val="22"/>
          <w:szCs w:val="22"/>
        </w:rPr>
        <w:t>i</w:t>
      </w:r>
      <w:r w:rsidRPr="001B2353">
        <w:rPr>
          <w:rFonts w:asciiTheme="minorHAnsi" w:hAnsiTheme="minorHAnsi"/>
          <w:sz w:val="22"/>
          <w:szCs w:val="22"/>
        </w:rPr>
        <w:t xml:space="preserve"> szczegółow</w:t>
      </w:r>
      <w:r w:rsidR="00C25203" w:rsidRPr="001B2353">
        <w:rPr>
          <w:rFonts w:asciiTheme="minorHAnsi" w:hAnsiTheme="minorHAnsi"/>
          <w:sz w:val="22"/>
          <w:szCs w:val="22"/>
        </w:rPr>
        <w:t>e służyć będą ocenie</w:t>
      </w:r>
      <w:r w:rsidRPr="001B2353">
        <w:rPr>
          <w:rFonts w:asciiTheme="minorHAnsi" w:hAnsiTheme="minorHAnsi"/>
          <w:sz w:val="22"/>
          <w:szCs w:val="22"/>
        </w:rPr>
        <w:t xml:space="preserve"> poszczególnych kierunków działań</w:t>
      </w:r>
      <w:r w:rsidR="00C25203" w:rsidRPr="001B2353">
        <w:rPr>
          <w:rFonts w:asciiTheme="minorHAnsi" w:hAnsiTheme="minorHAnsi"/>
          <w:sz w:val="22"/>
          <w:szCs w:val="22"/>
        </w:rPr>
        <w:t xml:space="preserve"> dokonanej</w:t>
      </w:r>
      <w:r w:rsidRPr="001B2353">
        <w:rPr>
          <w:rFonts w:asciiTheme="minorHAnsi" w:hAnsiTheme="minorHAnsi"/>
          <w:sz w:val="22"/>
          <w:szCs w:val="22"/>
        </w:rPr>
        <w:t xml:space="preserve"> na podstawie sprawozdań wszystkich jednostek, których zadania ujęte zostały z załączniku 1 do niniejszego Planu. </w:t>
      </w:r>
    </w:p>
    <w:p w:rsidR="00C72D82" w:rsidRPr="001B2353" w:rsidRDefault="00C72D82" w:rsidP="00357BFD">
      <w:pPr>
        <w:pStyle w:val="Default"/>
        <w:spacing w:line="360" w:lineRule="auto"/>
        <w:ind w:firstLine="708"/>
        <w:jc w:val="both"/>
        <w:rPr>
          <w:rFonts w:asciiTheme="minorHAnsi" w:hAnsiTheme="minorHAnsi"/>
          <w:sz w:val="22"/>
          <w:szCs w:val="22"/>
        </w:rPr>
      </w:pPr>
    </w:p>
    <w:p w:rsidR="00801830" w:rsidRPr="001B2353" w:rsidRDefault="00801830" w:rsidP="00357BFD">
      <w:pPr>
        <w:pStyle w:val="Default"/>
        <w:spacing w:line="360" w:lineRule="auto"/>
        <w:ind w:firstLine="708"/>
        <w:jc w:val="both"/>
        <w:rPr>
          <w:rFonts w:asciiTheme="minorHAnsi" w:hAnsiTheme="minorHAnsi"/>
          <w:sz w:val="22"/>
          <w:szCs w:val="22"/>
        </w:rPr>
      </w:pPr>
      <w:r w:rsidRPr="001B2353">
        <w:rPr>
          <w:rFonts w:asciiTheme="minorHAnsi" w:hAnsiTheme="minorHAnsi"/>
          <w:sz w:val="22"/>
          <w:szCs w:val="22"/>
        </w:rPr>
        <w:t xml:space="preserve">Sprawozdanie roczne z realizacji Dolnośląskiego Regionalnego Planu Działań zawierać będzie </w:t>
      </w:r>
      <w:r w:rsidR="001B5049" w:rsidRPr="001B2353">
        <w:rPr>
          <w:rFonts w:asciiTheme="minorHAnsi" w:hAnsiTheme="minorHAnsi"/>
          <w:sz w:val="22"/>
          <w:szCs w:val="22"/>
        </w:rPr>
        <w:br/>
      </w:r>
      <w:r w:rsidRPr="001B2353">
        <w:rPr>
          <w:rFonts w:asciiTheme="minorHAnsi" w:hAnsiTheme="minorHAnsi"/>
          <w:sz w:val="22"/>
          <w:szCs w:val="22"/>
        </w:rPr>
        <w:t xml:space="preserve">w szczególności:  </w:t>
      </w:r>
    </w:p>
    <w:p w:rsidR="00801830" w:rsidRPr="001B2353" w:rsidRDefault="00801830" w:rsidP="00357BFD">
      <w:pPr>
        <w:pStyle w:val="Default"/>
        <w:numPr>
          <w:ilvl w:val="0"/>
          <w:numId w:val="1"/>
        </w:numPr>
        <w:spacing w:line="360" w:lineRule="auto"/>
        <w:rPr>
          <w:rFonts w:asciiTheme="minorHAnsi" w:hAnsiTheme="minorHAnsi"/>
          <w:color w:val="auto"/>
          <w:sz w:val="22"/>
          <w:szCs w:val="22"/>
        </w:rPr>
      </w:pPr>
      <w:r w:rsidRPr="001B2353">
        <w:rPr>
          <w:rFonts w:asciiTheme="minorHAnsi" w:hAnsiTheme="minorHAnsi"/>
          <w:color w:val="auto"/>
          <w:sz w:val="22"/>
          <w:szCs w:val="22"/>
        </w:rPr>
        <w:t xml:space="preserve">nazwę i charakterystykę realizowanego zadania, </w:t>
      </w:r>
    </w:p>
    <w:p w:rsidR="00801830" w:rsidRPr="001B2353" w:rsidRDefault="00801830" w:rsidP="00357BFD">
      <w:pPr>
        <w:pStyle w:val="Default"/>
        <w:numPr>
          <w:ilvl w:val="0"/>
          <w:numId w:val="1"/>
        </w:numPr>
        <w:spacing w:line="360" w:lineRule="auto"/>
        <w:rPr>
          <w:rFonts w:asciiTheme="minorHAnsi" w:hAnsiTheme="minorHAnsi"/>
          <w:color w:val="auto"/>
          <w:sz w:val="22"/>
          <w:szCs w:val="22"/>
        </w:rPr>
      </w:pPr>
      <w:r w:rsidRPr="001B2353">
        <w:rPr>
          <w:rFonts w:asciiTheme="minorHAnsi" w:hAnsiTheme="minorHAnsi"/>
          <w:color w:val="auto"/>
          <w:sz w:val="22"/>
          <w:szCs w:val="22"/>
        </w:rPr>
        <w:t xml:space="preserve">ocenę zgodności realizacji zadania z </w:t>
      </w:r>
      <w:r w:rsidR="005D3A3F" w:rsidRPr="001B2353">
        <w:rPr>
          <w:rFonts w:asciiTheme="minorHAnsi" w:hAnsiTheme="minorHAnsi"/>
          <w:color w:val="auto"/>
          <w:sz w:val="22"/>
          <w:szCs w:val="22"/>
        </w:rPr>
        <w:t xml:space="preserve">KPD/Z 2012-2014 oraz </w:t>
      </w:r>
      <w:r w:rsidR="00D12284">
        <w:rPr>
          <w:rFonts w:asciiTheme="minorHAnsi" w:hAnsiTheme="minorHAnsi"/>
          <w:color w:val="auto"/>
          <w:sz w:val="22"/>
          <w:szCs w:val="22"/>
        </w:rPr>
        <w:t>z</w:t>
      </w:r>
      <w:r w:rsidR="005D3A3F" w:rsidRPr="001B2353">
        <w:rPr>
          <w:rFonts w:asciiTheme="minorHAnsi" w:hAnsiTheme="minorHAnsi"/>
          <w:color w:val="auto"/>
          <w:sz w:val="22"/>
          <w:szCs w:val="22"/>
        </w:rPr>
        <w:t xml:space="preserve"> Regio</w:t>
      </w:r>
      <w:r w:rsidRPr="001B2353">
        <w:rPr>
          <w:rFonts w:asciiTheme="minorHAnsi" w:hAnsiTheme="minorHAnsi"/>
          <w:color w:val="auto"/>
          <w:sz w:val="22"/>
          <w:szCs w:val="22"/>
        </w:rPr>
        <w:t xml:space="preserve">nalnym Planem Działań, </w:t>
      </w:r>
    </w:p>
    <w:p w:rsidR="00801830" w:rsidRPr="001B2353" w:rsidRDefault="00801830" w:rsidP="00357BFD">
      <w:pPr>
        <w:pStyle w:val="Default"/>
        <w:numPr>
          <w:ilvl w:val="0"/>
          <w:numId w:val="1"/>
        </w:numPr>
        <w:spacing w:line="360" w:lineRule="auto"/>
        <w:rPr>
          <w:rFonts w:asciiTheme="minorHAnsi" w:hAnsiTheme="minorHAnsi"/>
          <w:color w:val="auto"/>
          <w:sz w:val="22"/>
          <w:szCs w:val="22"/>
        </w:rPr>
      </w:pPr>
      <w:r w:rsidRPr="001B2353">
        <w:rPr>
          <w:rFonts w:asciiTheme="minorHAnsi" w:hAnsiTheme="minorHAnsi"/>
          <w:color w:val="auto"/>
          <w:sz w:val="22"/>
          <w:szCs w:val="22"/>
        </w:rPr>
        <w:t xml:space="preserve">opis zrealizowanych działań, </w:t>
      </w:r>
    </w:p>
    <w:p w:rsidR="00801830" w:rsidRPr="001B2353" w:rsidRDefault="00801830" w:rsidP="00357BFD">
      <w:pPr>
        <w:pStyle w:val="Default"/>
        <w:numPr>
          <w:ilvl w:val="0"/>
          <w:numId w:val="1"/>
        </w:numPr>
        <w:spacing w:line="360" w:lineRule="auto"/>
        <w:rPr>
          <w:rFonts w:asciiTheme="minorHAnsi" w:hAnsiTheme="minorHAnsi"/>
          <w:color w:val="auto"/>
          <w:sz w:val="22"/>
          <w:szCs w:val="22"/>
        </w:rPr>
      </w:pPr>
      <w:r w:rsidRPr="001B2353">
        <w:rPr>
          <w:rFonts w:asciiTheme="minorHAnsi" w:hAnsiTheme="minorHAnsi"/>
          <w:color w:val="auto"/>
          <w:sz w:val="22"/>
          <w:szCs w:val="22"/>
        </w:rPr>
        <w:t xml:space="preserve">charakterystykę beneficjentów uczestniczących w programie, </w:t>
      </w:r>
    </w:p>
    <w:p w:rsidR="00801830" w:rsidRPr="001B2353" w:rsidRDefault="00801830" w:rsidP="00357BFD">
      <w:pPr>
        <w:pStyle w:val="Default"/>
        <w:numPr>
          <w:ilvl w:val="0"/>
          <w:numId w:val="1"/>
        </w:numPr>
        <w:spacing w:line="360" w:lineRule="auto"/>
        <w:rPr>
          <w:rFonts w:asciiTheme="minorHAnsi" w:hAnsiTheme="minorHAnsi"/>
          <w:color w:val="auto"/>
          <w:sz w:val="22"/>
          <w:szCs w:val="22"/>
        </w:rPr>
      </w:pPr>
      <w:r w:rsidRPr="001B2353">
        <w:rPr>
          <w:rFonts w:asciiTheme="minorHAnsi" w:hAnsiTheme="minorHAnsi"/>
          <w:color w:val="auto"/>
          <w:sz w:val="22"/>
          <w:szCs w:val="22"/>
        </w:rPr>
        <w:t xml:space="preserve">uzyskane efekty realizacji poszczególnych zadań, </w:t>
      </w:r>
      <w:r w:rsidR="00F74879" w:rsidRPr="001B2353">
        <w:rPr>
          <w:rFonts w:asciiTheme="minorHAnsi" w:hAnsiTheme="minorHAnsi"/>
          <w:color w:val="auto"/>
          <w:sz w:val="22"/>
          <w:szCs w:val="22"/>
        </w:rPr>
        <w:t>w ujęciu ilościowym i jakościowym,</w:t>
      </w:r>
    </w:p>
    <w:p w:rsidR="00801830" w:rsidRPr="001B2353" w:rsidRDefault="00801830" w:rsidP="00357BFD">
      <w:pPr>
        <w:pStyle w:val="Default"/>
        <w:numPr>
          <w:ilvl w:val="0"/>
          <w:numId w:val="1"/>
        </w:numPr>
        <w:spacing w:line="360" w:lineRule="auto"/>
        <w:rPr>
          <w:rFonts w:asciiTheme="minorHAnsi" w:hAnsiTheme="minorHAnsi"/>
          <w:color w:val="auto"/>
          <w:sz w:val="22"/>
          <w:szCs w:val="22"/>
        </w:rPr>
      </w:pPr>
      <w:r w:rsidRPr="001B2353">
        <w:rPr>
          <w:rFonts w:asciiTheme="minorHAnsi" w:hAnsiTheme="minorHAnsi"/>
          <w:color w:val="auto"/>
          <w:sz w:val="22"/>
          <w:szCs w:val="22"/>
        </w:rPr>
        <w:t xml:space="preserve">wnioski i rekomendacje wynikające z realizacji zadania. </w:t>
      </w:r>
    </w:p>
    <w:p w:rsidR="00801830" w:rsidRPr="001B2353" w:rsidRDefault="00801830" w:rsidP="00357BFD">
      <w:pPr>
        <w:pStyle w:val="Default"/>
        <w:spacing w:line="360" w:lineRule="auto"/>
        <w:rPr>
          <w:rFonts w:asciiTheme="minorHAnsi" w:hAnsiTheme="minorHAnsi"/>
          <w:color w:val="auto"/>
          <w:sz w:val="22"/>
          <w:szCs w:val="22"/>
        </w:rPr>
      </w:pPr>
    </w:p>
    <w:p w:rsidR="00A37497" w:rsidRPr="001B2353" w:rsidRDefault="00A37497" w:rsidP="00357BFD">
      <w:pPr>
        <w:spacing w:line="360" w:lineRule="auto"/>
        <w:jc w:val="both"/>
        <w:rPr>
          <w:rFonts w:asciiTheme="minorHAnsi" w:hAnsiTheme="minorHAnsi"/>
          <w:sz w:val="22"/>
          <w:szCs w:val="22"/>
        </w:rPr>
      </w:pPr>
    </w:p>
    <w:p w:rsidR="00F66FC8" w:rsidRPr="001B2353" w:rsidRDefault="001B5049" w:rsidP="00357BFD">
      <w:pPr>
        <w:spacing w:line="360" w:lineRule="auto"/>
        <w:ind w:firstLine="360"/>
        <w:jc w:val="both"/>
        <w:rPr>
          <w:rFonts w:asciiTheme="minorHAnsi" w:hAnsiTheme="minorHAnsi"/>
          <w:sz w:val="22"/>
          <w:szCs w:val="22"/>
        </w:rPr>
      </w:pPr>
      <w:r w:rsidRPr="001B2353">
        <w:rPr>
          <w:rFonts w:asciiTheme="minorHAnsi" w:hAnsiTheme="minorHAnsi"/>
          <w:sz w:val="22"/>
          <w:szCs w:val="22"/>
        </w:rPr>
        <w:tab/>
      </w:r>
      <w:r w:rsidR="00801830" w:rsidRPr="001B2353">
        <w:rPr>
          <w:rFonts w:asciiTheme="minorHAnsi" w:hAnsiTheme="minorHAnsi"/>
          <w:sz w:val="22"/>
          <w:szCs w:val="22"/>
        </w:rPr>
        <w:t>Sprawozdanie roczne z realizacji Dolnośląskiego Regionalnego Planu Działań na Rzecz Zatrudnienia za 201</w:t>
      </w:r>
      <w:r w:rsidR="006563E4" w:rsidRPr="001B2353">
        <w:rPr>
          <w:rFonts w:asciiTheme="minorHAnsi" w:hAnsiTheme="minorHAnsi"/>
          <w:sz w:val="22"/>
          <w:szCs w:val="22"/>
        </w:rPr>
        <w:t>4</w:t>
      </w:r>
      <w:r w:rsidR="00801830" w:rsidRPr="001B2353">
        <w:rPr>
          <w:rFonts w:asciiTheme="minorHAnsi" w:hAnsiTheme="minorHAnsi"/>
          <w:sz w:val="22"/>
          <w:szCs w:val="22"/>
        </w:rPr>
        <w:t xml:space="preserve"> rok przedłożone zostanie Zarządowi Województwa Dolnośląskiego oraz Ministrowi Pracy i Polityki Społecznej w pierwszym półroczu 201</w:t>
      </w:r>
      <w:r w:rsidR="006563E4" w:rsidRPr="001B2353">
        <w:rPr>
          <w:rFonts w:asciiTheme="minorHAnsi" w:hAnsiTheme="minorHAnsi"/>
          <w:sz w:val="22"/>
          <w:szCs w:val="22"/>
        </w:rPr>
        <w:t>5</w:t>
      </w:r>
      <w:r w:rsidR="00801830" w:rsidRPr="001B2353">
        <w:rPr>
          <w:rFonts w:asciiTheme="minorHAnsi" w:hAnsiTheme="minorHAnsi"/>
          <w:sz w:val="22"/>
          <w:szCs w:val="22"/>
        </w:rPr>
        <w:t xml:space="preserve"> roku.</w:t>
      </w:r>
      <w:r w:rsidR="00A37497" w:rsidRPr="001B2353">
        <w:rPr>
          <w:rFonts w:asciiTheme="minorHAnsi" w:hAnsiTheme="minorHAnsi"/>
          <w:sz w:val="22"/>
          <w:szCs w:val="22"/>
        </w:rPr>
        <w:t xml:space="preserve"> Zamieszczone zostanie również na stronie internetowej Dolnośląskiego Wojewódzkiego Urzędu Pracy.</w:t>
      </w:r>
    </w:p>
    <w:sectPr w:rsidR="00F66FC8" w:rsidRPr="001B2353" w:rsidSect="00E61818">
      <w:footerReference w:type="default" r:id="rId33"/>
      <w:pgSz w:w="11906" w:h="16838"/>
      <w:pgMar w:top="1021" w:right="1134" w:bottom="1021" w:left="1134"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3030E" w:rsidRDefault="0003030E" w:rsidP="004B737D">
      <w:r>
        <w:separator/>
      </w:r>
    </w:p>
  </w:endnote>
  <w:endnote w:type="continuationSeparator" w:id="0">
    <w:p w:rsidR="0003030E" w:rsidRDefault="0003030E" w:rsidP="004B73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546829"/>
      <w:docPartObj>
        <w:docPartGallery w:val="Page Numbers (Bottom of Page)"/>
        <w:docPartUnique/>
      </w:docPartObj>
    </w:sdtPr>
    <w:sdtEndPr/>
    <w:sdtContent>
      <w:p w:rsidR="001B2353" w:rsidRDefault="001B2353">
        <w:pPr>
          <w:pStyle w:val="Stopka"/>
          <w:jc w:val="center"/>
        </w:pPr>
        <w:r>
          <w:fldChar w:fldCharType="begin"/>
        </w:r>
        <w:r>
          <w:instrText xml:space="preserve"> PAGE   \* MERGEFORMAT </w:instrText>
        </w:r>
        <w:r>
          <w:fldChar w:fldCharType="separate"/>
        </w:r>
        <w:r w:rsidR="00B97578">
          <w:rPr>
            <w:noProof/>
          </w:rPr>
          <w:t>2</w:t>
        </w:r>
        <w:r>
          <w:rPr>
            <w:noProof/>
          </w:rPr>
          <w:fldChar w:fldCharType="end"/>
        </w:r>
      </w:p>
    </w:sdtContent>
  </w:sdt>
  <w:p w:rsidR="001B2353" w:rsidRDefault="001B2353">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3030E" w:rsidRDefault="0003030E" w:rsidP="004B737D">
      <w:r>
        <w:separator/>
      </w:r>
    </w:p>
  </w:footnote>
  <w:footnote w:type="continuationSeparator" w:id="0">
    <w:p w:rsidR="0003030E" w:rsidRDefault="0003030E" w:rsidP="004B737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D924E1"/>
    <w:multiLevelType w:val="hybridMultilevel"/>
    <w:tmpl w:val="B3507A7A"/>
    <w:lvl w:ilvl="0" w:tplc="0415000B">
      <w:start w:val="1"/>
      <w:numFmt w:val="bullet"/>
      <w:lvlText w:val=""/>
      <w:lvlJc w:val="left"/>
      <w:pPr>
        <w:tabs>
          <w:tab w:val="num" w:pos="1068"/>
        </w:tabs>
        <w:ind w:left="1068" w:hanging="360"/>
      </w:pPr>
      <w:rPr>
        <w:rFonts w:ascii="Wingdings" w:hAnsi="Wingdings" w:hint="default"/>
      </w:rPr>
    </w:lvl>
    <w:lvl w:ilvl="1" w:tplc="C4D84CBC">
      <w:numFmt w:val="bullet"/>
      <w:lvlText w:val=""/>
      <w:lvlJc w:val="left"/>
      <w:pPr>
        <w:tabs>
          <w:tab w:val="num" w:pos="1788"/>
        </w:tabs>
        <w:ind w:left="1788" w:hanging="360"/>
      </w:pPr>
      <w:rPr>
        <w:rFonts w:ascii="Symbol" w:hAnsi="Symbol" w:hint="default"/>
        <w:color w:val="auto"/>
        <w:sz w:val="32"/>
      </w:r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
    <w:nsid w:val="024C5867"/>
    <w:multiLevelType w:val="hybridMultilevel"/>
    <w:tmpl w:val="5EF2D1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nsid w:val="05134F8F"/>
    <w:multiLevelType w:val="hybridMultilevel"/>
    <w:tmpl w:val="D7A0C89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nsid w:val="1178691A"/>
    <w:multiLevelType w:val="hybridMultilevel"/>
    <w:tmpl w:val="B2608D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11855A60"/>
    <w:multiLevelType w:val="hybridMultilevel"/>
    <w:tmpl w:val="9B3CD39C"/>
    <w:lvl w:ilvl="0" w:tplc="FB26847C">
      <w:start w:val="1"/>
      <w:numFmt w:val="bullet"/>
      <w:lvlText w:val=""/>
      <w:lvlJc w:val="left"/>
      <w:pPr>
        <w:tabs>
          <w:tab w:val="num" w:pos="1068"/>
        </w:tabs>
        <w:ind w:left="1068" w:hanging="360"/>
      </w:pPr>
      <w:rPr>
        <w:rFonts w:ascii="Symbol" w:hAnsi="Symbol" w:hint="default"/>
        <w:color w:val="auto"/>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5">
    <w:nsid w:val="173A46A3"/>
    <w:multiLevelType w:val="hybridMultilevel"/>
    <w:tmpl w:val="5CD0F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198B243D"/>
    <w:multiLevelType w:val="hybridMultilevel"/>
    <w:tmpl w:val="E85E07A8"/>
    <w:lvl w:ilvl="0" w:tplc="0415000B">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7">
    <w:nsid w:val="1CF649EB"/>
    <w:multiLevelType w:val="hybridMultilevel"/>
    <w:tmpl w:val="02B400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245E7225"/>
    <w:multiLevelType w:val="hybridMultilevel"/>
    <w:tmpl w:val="87C4D9B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28BD0C1F"/>
    <w:multiLevelType w:val="hybridMultilevel"/>
    <w:tmpl w:val="7F9858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31F96987"/>
    <w:multiLevelType w:val="hybridMultilevel"/>
    <w:tmpl w:val="729687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327C6D4D"/>
    <w:multiLevelType w:val="hybridMultilevel"/>
    <w:tmpl w:val="C5BC71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3AE477DC"/>
    <w:multiLevelType w:val="hybridMultilevel"/>
    <w:tmpl w:val="267831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3B9E6977"/>
    <w:multiLevelType w:val="hybridMultilevel"/>
    <w:tmpl w:val="86280B8C"/>
    <w:lvl w:ilvl="0" w:tplc="04150001">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4">
    <w:nsid w:val="3E6731CB"/>
    <w:multiLevelType w:val="hybridMultilevel"/>
    <w:tmpl w:val="CC64C6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41FC1B7F"/>
    <w:multiLevelType w:val="hybridMultilevel"/>
    <w:tmpl w:val="39AAAEFE"/>
    <w:lvl w:ilvl="0" w:tplc="0415000B">
      <w:start w:val="1"/>
      <w:numFmt w:val="bullet"/>
      <w:lvlText w:val=""/>
      <w:lvlJc w:val="left"/>
      <w:pPr>
        <w:ind w:left="1068"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6">
    <w:nsid w:val="440077AA"/>
    <w:multiLevelType w:val="multilevel"/>
    <w:tmpl w:val="7EF4F3CE"/>
    <w:lvl w:ilvl="0">
      <w:start w:val="1"/>
      <w:numFmt w:val="decimal"/>
      <w:pStyle w:val="Nagwek3"/>
      <w:lvlText w:val="%1."/>
      <w:lvlJc w:val="left"/>
      <w:pPr>
        <w:ind w:left="360" w:hanging="360"/>
      </w:pPr>
    </w:lvl>
    <w:lvl w:ilvl="1">
      <w:start w:val="1"/>
      <w:numFmt w:val="decimal"/>
      <w:isLgl/>
      <w:lvlText w:val="%1.%2"/>
      <w:lvlJc w:val="left"/>
      <w:pPr>
        <w:ind w:left="1080" w:hanging="360"/>
      </w:pPr>
    </w:lvl>
    <w:lvl w:ilvl="2">
      <w:start w:val="1"/>
      <w:numFmt w:val="decimal"/>
      <w:isLgl/>
      <w:lvlText w:val="%1.%2.%3"/>
      <w:lvlJc w:val="left"/>
      <w:pPr>
        <w:ind w:left="2160" w:hanging="720"/>
      </w:pPr>
    </w:lvl>
    <w:lvl w:ilvl="3">
      <w:start w:val="1"/>
      <w:numFmt w:val="decimal"/>
      <w:isLgl/>
      <w:lvlText w:val="%1.%2.%3.%4"/>
      <w:lvlJc w:val="left"/>
      <w:pPr>
        <w:ind w:left="2880" w:hanging="720"/>
      </w:pPr>
    </w:lvl>
    <w:lvl w:ilvl="4">
      <w:start w:val="1"/>
      <w:numFmt w:val="decimal"/>
      <w:isLgl/>
      <w:lvlText w:val="%1.%2.%3.%4.%5"/>
      <w:lvlJc w:val="left"/>
      <w:pPr>
        <w:ind w:left="3960" w:hanging="1080"/>
      </w:pPr>
    </w:lvl>
    <w:lvl w:ilvl="5">
      <w:start w:val="1"/>
      <w:numFmt w:val="decimal"/>
      <w:isLgl/>
      <w:lvlText w:val="%1.%2.%3.%4.%5.%6"/>
      <w:lvlJc w:val="left"/>
      <w:pPr>
        <w:ind w:left="4680" w:hanging="1080"/>
      </w:pPr>
    </w:lvl>
    <w:lvl w:ilvl="6">
      <w:start w:val="1"/>
      <w:numFmt w:val="decimal"/>
      <w:isLgl/>
      <w:lvlText w:val="%1.%2.%3.%4.%5.%6.%7"/>
      <w:lvlJc w:val="left"/>
      <w:pPr>
        <w:ind w:left="5760" w:hanging="1440"/>
      </w:pPr>
    </w:lvl>
    <w:lvl w:ilvl="7">
      <w:start w:val="1"/>
      <w:numFmt w:val="decimal"/>
      <w:isLgl/>
      <w:lvlText w:val="%1.%2.%3.%4.%5.%6.%7.%8"/>
      <w:lvlJc w:val="left"/>
      <w:pPr>
        <w:ind w:left="6480" w:hanging="1440"/>
      </w:pPr>
    </w:lvl>
    <w:lvl w:ilvl="8">
      <w:start w:val="1"/>
      <w:numFmt w:val="decimal"/>
      <w:isLgl/>
      <w:lvlText w:val="%1.%2.%3.%4.%5.%6.%7.%8.%9"/>
      <w:lvlJc w:val="left"/>
      <w:pPr>
        <w:ind w:left="7560" w:hanging="1800"/>
      </w:pPr>
    </w:lvl>
  </w:abstractNum>
  <w:abstractNum w:abstractNumId="17">
    <w:nsid w:val="4A4627F5"/>
    <w:multiLevelType w:val="hybridMultilevel"/>
    <w:tmpl w:val="2F567060"/>
    <w:lvl w:ilvl="0" w:tplc="1D523A84">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8">
    <w:nsid w:val="4ADE6644"/>
    <w:multiLevelType w:val="hybridMultilevel"/>
    <w:tmpl w:val="FB3266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nsid w:val="4B247160"/>
    <w:multiLevelType w:val="hybridMultilevel"/>
    <w:tmpl w:val="5B6220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4E9A1F0E"/>
    <w:multiLevelType w:val="hybridMultilevel"/>
    <w:tmpl w:val="1B4A4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nsid w:val="5014558A"/>
    <w:multiLevelType w:val="hybridMultilevel"/>
    <w:tmpl w:val="9D74DE0E"/>
    <w:lvl w:ilvl="0" w:tplc="0415000B">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22">
    <w:nsid w:val="51113DC3"/>
    <w:multiLevelType w:val="hybridMultilevel"/>
    <w:tmpl w:val="61488F6C"/>
    <w:lvl w:ilvl="0" w:tplc="0415000D">
      <w:start w:val="1"/>
      <w:numFmt w:val="bullet"/>
      <w:lvlText w:val=""/>
      <w:lvlJc w:val="left"/>
      <w:pPr>
        <w:ind w:left="1146"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23">
    <w:nsid w:val="52B52129"/>
    <w:multiLevelType w:val="hybridMultilevel"/>
    <w:tmpl w:val="A3AC67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nsid w:val="578D07C3"/>
    <w:multiLevelType w:val="hybridMultilevel"/>
    <w:tmpl w:val="F96E86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nsid w:val="5A5F325A"/>
    <w:multiLevelType w:val="hybridMultilevel"/>
    <w:tmpl w:val="E64461F4"/>
    <w:lvl w:ilvl="0" w:tplc="0415000B">
      <w:start w:val="1"/>
      <w:numFmt w:val="bullet"/>
      <w:lvlText w:val=""/>
      <w:lvlJc w:val="left"/>
      <w:pPr>
        <w:tabs>
          <w:tab w:val="num" w:pos="1068"/>
        </w:tabs>
        <w:ind w:left="1068" w:hanging="360"/>
      </w:pPr>
      <w:rPr>
        <w:rFonts w:ascii="Wingdings" w:hAnsi="Wingdings" w:hint="default"/>
        <w:color w:val="auto"/>
      </w:rPr>
    </w:lvl>
    <w:lvl w:ilvl="1" w:tplc="C4D84CBC">
      <w:numFmt w:val="bullet"/>
      <w:lvlText w:val=""/>
      <w:lvlJc w:val="left"/>
      <w:pPr>
        <w:tabs>
          <w:tab w:val="num" w:pos="1788"/>
        </w:tabs>
        <w:ind w:left="1788" w:hanging="360"/>
      </w:pPr>
      <w:rPr>
        <w:rFonts w:ascii="Symbol" w:hAnsi="Symbol" w:hint="default"/>
        <w:color w:val="auto"/>
        <w:sz w:val="32"/>
      </w:r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26">
    <w:nsid w:val="5E8908A3"/>
    <w:multiLevelType w:val="hybridMultilevel"/>
    <w:tmpl w:val="E474F886"/>
    <w:lvl w:ilvl="0" w:tplc="0415000B">
      <w:start w:val="1"/>
      <w:numFmt w:val="bullet"/>
      <w:lvlText w:val=""/>
      <w:lvlJc w:val="left"/>
      <w:pPr>
        <w:tabs>
          <w:tab w:val="num" w:pos="2473"/>
        </w:tabs>
        <w:ind w:left="2473"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27">
    <w:nsid w:val="634D577E"/>
    <w:multiLevelType w:val="hybridMultilevel"/>
    <w:tmpl w:val="9A2C36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nsid w:val="68375D98"/>
    <w:multiLevelType w:val="hybridMultilevel"/>
    <w:tmpl w:val="90161D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6DD42617"/>
    <w:multiLevelType w:val="hybridMultilevel"/>
    <w:tmpl w:val="EC4CB2C8"/>
    <w:lvl w:ilvl="0" w:tplc="0415000B">
      <w:start w:val="1"/>
      <w:numFmt w:val="bullet"/>
      <w:lvlText w:val=""/>
      <w:lvlJc w:val="left"/>
      <w:pPr>
        <w:ind w:left="1068"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30">
    <w:nsid w:val="6ED53923"/>
    <w:multiLevelType w:val="hybridMultilevel"/>
    <w:tmpl w:val="6F5C9E48"/>
    <w:lvl w:ilvl="0" w:tplc="0415000B">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31">
    <w:nsid w:val="6FD4572A"/>
    <w:multiLevelType w:val="hybridMultilevel"/>
    <w:tmpl w:val="467A029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70E72027"/>
    <w:multiLevelType w:val="hybridMultilevel"/>
    <w:tmpl w:val="1562B334"/>
    <w:lvl w:ilvl="0" w:tplc="1B90A206">
      <w:numFmt w:val="bullet"/>
      <w:lvlText w:val="-"/>
      <w:lvlJc w:val="left"/>
      <w:pPr>
        <w:tabs>
          <w:tab w:val="num" w:pos="976"/>
        </w:tabs>
        <w:ind w:left="976" w:hanging="630"/>
      </w:pPr>
      <w:rPr>
        <w:rFonts w:ascii="Times New Roman" w:eastAsia="Times New Roman" w:hAnsi="Times New Roman" w:cs="Times New Roman" w:hint="default"/>
      </w:rPr>
    </w:lvl>
    <w:lvl w:ilvl="1" w:tplc="02D644FA">
      <w:numFmt w:val="bullet"/>
      <w:lvlText w:val=""/>
      <w:lvlJc w:val="left"/>
      <w:pPr>
        <w:tabs>
          <w:tab w:val="num" w:pos="1440"/>
        </w:tabs>
        <w:ind w:left="1440" w:hanging="360"/>
      </w:pPr>
      <w:rPr>
        <w:rFonts w:ascii="Wingdings" w:hAnsi="Wingdings" w:hint="default"/>
      </w:rPr>
    </w:lvl>
    <w:lvl w:ilvl="2" w:tplc="6B3094CE">
      <w:numFmt w:val="bullet"/>
      <w:lvlText w:val=""/>
      <w:lvlJc w:val="left"/>
      <w:pPr>
        <w:tabs>
          <w:tab w:val="num" w:pos="2160"/>
        </w:tabs>
        <w:ind w:left="2160" w:hanging="360"/>
      </w:pPr>
      <w:rPr>
        <w:rFonts w:ascii="Wingdings" w:hAnsi="Wingdings" w:hint="default"/>
      </w:r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33">
    <w:nsid w:val="74A07AE5"/>
    <w:multiLevelType w:val="hybridMultilevel"/>
    <w:tmpl w:val="048E2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7D772147"/>
    <w:multiLevelType w:val="hybridMultilevel"/>
    <w:tmpl w:val="BF38584C"/>
    <w:lvl w:ilvl="0" w:tplc="EE4EAA0A">
      <w:start w:val="1"/>
      <w:numFmt w:val="bullet"/>
      <w:lvlText w:val=""/>
      <w:lvlJc w:val="left"/>
      <w:pPr>
        <w:ind w:left="1068" w:hanging="360"/>
      </w:pPr>
      <w:rPr>
        <w:rFonts w:ascii="Symbol" w:hAnsi="Symbol" w:hint="default"/>
      </w:rPr>
    </w:lvl>
    <w:lvl w:ilvl="1" w:tplc="04150003">
      <w:start w:val="1"/>
      <w:numFmt w:val="bullet"/>
      <w:lvlText w:val="o"/>
      <w:lvlJc w:val="left"/>
      <w:pPr>
        <w:ind w:left="1788" w:hanging="360"/>
      </w:pPr>
      <w:rPr>
        <w:rFonts w:ascii="Courier New" w:hAnsi="Courier New" w:cs="Courier New" w:hint="default"/>
      </w:rPr>
    </w:lvl>
    <w:lvl w:ilvl="2" w:tplc="04150005">
      <w:start w:val="1"/>
      <w:numFmt w:val="bullet"/>
      <w:lvlText w:val=""/>
      <w:lvlJc w:val="left"/>
      <w:pPr>
        <w:ind w:left="2508" w:hanging="360"/>
      </w:pPr>
      <w:rPr>
        <w:rFonts w:ascii="Wingdings" w:hAnsi="Wingdings" w:hint="default"/>
      </w:r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num w:numId="1">
    <w:abstractNumId w:val="31"/>
  </w:num>
  <w:num w:numId="2">
    <w:abstractNumId w:val="24"/>
  </w:num>
  <w:num w:numId="3">
    <w:abstractNumId w:val="19"/>
  </w:num>
  <w:num w:numId="4">
    <w:abstractNumId w:val="20"/>
  </w:num>
  <w:num w:numId="5">
    <w:abstractNumId w:val="8"/>
  </w:num>
  <w:num w:numId="6">
    <w:abstractNumId w:val="16"/>
  </w:num>
  <w:num w:numId="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5"/>
  </w:num>
  <w:num w:numId="9">
    <w:abstractNumId w:val="2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0"/>
  </w:num>
  <w:num w:numId="11">
    <w:abstractNumId w:val="0"/>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4"/>
  </w:num>
  <w:num w:numId="13">
    <w:abstractNumId w:val="34"/>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0"/>
  </w:num>
  <w:num w:numId="15">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5"/>
  </w:num>
  <w:num w:numId="17">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2"/>
  </w:num>
  <w:num w:numId="19">
    <w:abstractNumId w:val="32"/>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9"/>
  </w:num>
  <w:num w:numId="21">
    <w:abstractNumId w:val="2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4"/>
  </w:num>
  <w:num w:numId="23">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6"/>
  </w:num>
  <w:num w:numId="27">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2"/>
  </w:num>
  <w:num w:numId="29">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3"/>
  </w:num>
  <w:num w:numId="31">
    <w:abstractNumId w:val="33"/>
  </w:num>
  <w:num w:numId="32">
    <w:abstractNumId w:val="27"/>
  </w:num>
  <w:num w:numId="33">
    <w:abstractNumId w:val="3"/>
  </w:num>
  <w:num w:numId="34">
    <w:abstractNumId w:val="1"/>
  </w:num>
  <w:num w:numId="35">
    <w:abstractNumId w:val="11"/>
  </w:num>
  <w:num w:numId="36">
    <w:abstractNumId w:val="12"/>
  </w:num>
  <w:num w:numId="37">
    <w:abstractNumId w:val="7"/>
  </w:num>
  <w:num w:numId="38">
    <w:abstractNumId w:val="28"/>
  </w:num>
  <w:num w:numId="39">
    <w:abstractNumId w:val="9"/>
  </w:num>
  <w:num w:numId="40">
    <w:abstractNumId w:val="14"/>
  </w:num>
  <w:num w:numId="41">
    <w:abstractNumId w:val="5"/>
  </w:num>
  <w:num w:numId="42">
    <w:abstractNumId w:val="17"/>
  </w:num>
  <w:num w:numId="43">
    <w:abstractNumId w:val="2"/>
  </w:num>
  <w:num w:numId="44">
    <w:abstractNumId w:val="10"/>
  </w:num>
  <w:num w:numId="45">
    <w:abstractNumId w:val="18"/>
  </w:num>
  <w:num w:numId="46">
    <w:abstractNumId w:val="21"/>
  </w:num>
  <w:num w:numId="47">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defaultTabStop w:val="708"/>
  <w:hyphenationZone w:val="425"/>
  <w:drawingGridHorizontalSpacing w:val="10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01830"/>
    <w:rsid w:val="00003E3D"/>
    <w:rsid w:val="0003030E"/>
    <w:rsid w:val="00031F5F"/>
    <w:rsid w:val="00033BE9"/>
    <w:rsid w:val="000461C2"/>
    <w:rsid w:val="0005696D"/>
    <w:rsid w:val="0006073A"/>
    <w:rsid w:val="00075C5C"/>
    <w:rsid w:val="000A2AA7"/>
    <w:rsid w:val="000D7D91"/>
    <w:rsid w:val="000E1E72"/>
    <w:rsid w:val="00101BA9"/>
    <w:rsid w:val="00105AA1"/>
    <w:rsid w:val="00125971"/>
    <w:rsid w:val="00151C68"/>
    <w:rsid w:val="00151F2C"/>
    <w:rsid w:val="0016508F"/>
    <w:rsid w:val="00172488"/>
    <w:rsid w:val="00172AF8"/>
    <w:rsid w:val="00184AAF"/>
    <w:rsid w:val="00186D96"/>
    <w:rsid w:val="001872D6"/>
    <w:rsid w:val="001908E6"/>
    <w:rsid w:val="00191629"/>
    <w:rsid w:val="00192418"/>
    <w:rsid w:val="001A2280"/>
    <w:rsid w:val="001B2353"/>
    <w:rsid w:val="001B5049"/>
    <w:rsid w:val="001D2D03"/>
    <w:rsid w:val="001E6817"/>
    <w:rsid w:val="0020218A"/>
    <w:rsid w:val="002033D4"/>
    <w:rsid w:val="00213DAF"/>
    <w:rsid w:val="00217C4D"/>
    <w:rsid w:val="0022301E"/>
    <w:rsid w:val="00223163"/>
    <w:rsid w:val="00245949"/>
    <w:rsid w:val="00254DEC"/>
    <w:rsid w:val="002609D6"/>
    <w:rsid w:val="00291620"/>
    <w:rsid w:val="002B10CD"/>
    <w:rsid w:val="002C23C6"/>
    <w:rsid w:val="002D0487"/>
    <w:rsid w:val="002E4769"/>
    <w:rsid w:val="002F1151"/>
    <w:rsid w:val="00325653"/>
    <w:rsid w:val="003261D5"/>
    <w:rsid w:val="00331464"/>
    <w:rsid w:val="0033347B"/>
    <w:rsid w:val="00353673"/>
    <w:rsid w:val="0035605E"/>
    <w:rsid w:val="00357BFD"/>
    <w:rsid w:val="00366B9D"/>
    <w:rsid w:val="00366CDE"/>
    <w:rsid w:val="003712A9"/>
    <w:rsid w:val="0037164D"/>
    <w:rsid w:val="00374494"/>
    <w:rsid w:val="00380FD2"/>
    <w:rsid w:val="003869F5"/>
    <w:rsid w:val="003B07A7"/>
    <w:rsid w:val="003B3641"/>
    <w:rsid w:val="003C0976"/>
    <w:rsid w:val="003D0C1B"/>
    <w:rsid w:val="003D54F1"/>
    <w:rsid w:val="003F11EA"/>
    <w:rsid w:val="0040660C"/>
    <w:rsid w:val="0041314F"/>
    <w:rsid w:val="00426E53"/>
    <w:rsid w:val="00426EAA"/>
    <w:rsid w:val="00432BCD"/>
    <w:rsid w:val="00442217"/>
    <w:rsid w:val="00444BAA"/>
    <w:rsid w:val="00465128"/>
    <w:rsid w:val="0049362D"/>
    <w:rsid w:val="00494CAB"/>
    <w:rsid w:val="004966EC"/>
    <w:rsid w:val="004A3353"/>
    <w:rsid w:val="004B01EC"/>
    <w:rsid w:val="004B737D"/>
    <w:rsid w:val="004D099F"/>
    <w:rsid w:val="004D31B2"/>
    <w:rsid w:val="004E232B"/>
    <w:rsid w:val="004E3B2C"/>
    <w:rsid w:val="004E43FD"/>
    <w:rsid w:val="004F2239"/>
    <w:rsid w:val="004F44D4"/>
    <w:rsid w:val="005537E6"/>
    <w:rsid w:val="005733FC"/>
    <w:rsid w:val="00577DDE"/>
    <w:rsid w:val="00580E48"/>
    <w:rsid w:val="00581156"/>
    <w:rsid w:val="005B39B7"/>
    <w:rsid w:val="005B4EA3"/>
    <w:rsid w:val="005B5DD9"/>
    <w:rsid w:val="005B69C8"/>
    <w:rsid w:val="005C7FBE"/>
    <w:rsid w:val="005D0ADC"/>
    <w:rsid w:val="005D3A3F"/>
    <w:rsid w:val="005F1429"/>
    <w:rsid w:val="005F329F"/>
    <w:rsid w:val="00621FAD"/>
    <w:rsid w:val="00626F98"/>
    <w:rsid w:val="00627E88"/>
    <w:rsid w:val="006331F6"/>
    <w:rsid w:val="00633EBF"/>
    <w:rsid w:val="00647532"/>
    <w:rsid w:val="00654793"/>
    <w:rsid w:val="006563E4"/>
    <w:rsid w:val="00657AA6"/>
    <w:rsid w:val="006714A3"/>
    <w:rsid w:val="006756EC"/>
    <w:rsid w:val="00680B2E"/>
    <w:rsid w:val="006833DA"/>
    <w:rsid w:val="006A4EF1"/>
    <w:rsid w:val="006B5BE2"/>
    <w:rsid w:val="006C1084"/>
    <w:rsid w:val="006F7AAE"/>
    <w:rsid w:val="00703D9F"/>
    <w:rsid w:val="00713538"/>
    <w:rsid w:val="00713DDB"/>
    <w:rsid w:val="00715BC1"/>
    <w:rsid w:val="0072771C"/>
    <w:rsid w:val="00727942"/>
    <w:rsid w:val="007316E6"/>
    <w:rsid w:val="00736DE3"/>
    <w:rsid w:val="00750371"/>
    <w:rsid w:val="00764735"/>
    <w:rsid w:val="007834FE"/>
    <w:rsid w:val="00783BF5"/>
    <w:rsid w:val="007A00AE"/>
    <w:rsid w:val="007A7E0B"/>
    <w:rsid w:val="007B4B83"/>
    <w:rsid w:val="007C23FD"/>
    <w:rsid w:val="007E234D"/>
    <w:rsid w:val="007F0AA4"/>
    <w:rsid w:val="007F32E7"/>
    <w:rsid w:val="00801830"/>
    <w:rsid w:val="008068EC"/>
    <w:rsid w:val="008112C6"/>
    <w:rsid w:val="00842C14"/>
    <w:rsid w:val="00881B96"/>
    <w:rsid w:val="008A5341"/>
    <w:rsid w:val="008B0325"/>
    <w:rsid w:val="008C1837"/>
    <w:rsid w:val="008C30D0"/>
    <w:rsid w:val="008C4267"/>
    <w:rsid w:val="008D5396"/>
    <w:rsid w:val="008F440C"/>
    <w:rsid w:val="009041EB"/>
    <w:rsid w:val="009164AE"/>
    <w:rsid w:val="00933C53"/>
    <w:rsid w:val="00946E56"/>
    <w:rsid w:val="00954032"/>
    <w:rsid w:val="00960826"/>
    <w:rsid w:val="00965EFC"/>
    <w:rsid w:val="00985371"/>
    <w:rsid w:val="009F051F"/>
    <w:rsid w:val="009F7579"/>
    <w:rsid w:val="00A05D8C"/>
    <w:rsid w:val="00A10139"/>
    <w:rsid w:val="00A12BA4"/>
    <w:rsid w:val="00A25529"/>
    <w:rsid w:val="00A31FD4"/>
    <w:rsid w:val="00A37497"/>
    <w:rsid w:val="00A50828"/>
    <w:rsid w:val="00A84AAB"/>
    <w:rsid w:val="00A853BF"/>
    <w:rsid w:val="00AA6BA5"/>
    <w:rsid w:val="00AE78DA"/>
    <w:rsid w:val="00AF6244"/>
    <w:rsid w:val="00B01648"/>
    <w:rsid w:val="00B068F5"/>
    <w:rsid w:val="00B34892"/>
    <w:rsid w:val="00B534E6"/>
    <w:rsid w:val="00B55F47"/>
    <w:rsid w:val="00B67E82"/>
    <w:rsid w:val="00B73B60"/>
    <w:rsid w:val="00B87327"/>
    <w:rsid w:val="00B97578"/>
    <w:rsid w:val="00BB2C96"/>
    <w:rsid w:val="00BB3356"/>
    <w:rsid w:val="00BB750D"/>
    <w:rsid w:val="00BC3145"/>
    <w:rsid w:val="00BC4E70"/>
    <w:rsid w:val="00BC65C1"/>
    <w:rsid w:val="00BD3441"/>
    <w:rsid w:val="00BD3C5B"/>
    <w:rsid w:val="00BD6BE9"/>
    <w:rsid w:val="00BE09A1"/>
    <w:rsid w:val="00BE4321"/>
    <w:rsid w:val="00BE432C"/>
    <w:rsid w:val="00BE71B8"/>
    <w:rsid w:val="00C038F0"/>
    <w:rsid w:val="00C064B4"/>
    <w:rsid w:val="00C101FD"/>
    <w:rsid w:val="00C25203"/>
    <w:rsid w:val="00C27E6F"/>
    <w:rsid w:val="00C311A0"/>
    <w:rsid w:val="00C31C9F"/>
    <w:rsid w:val="00C7155E"/>
    <w:rsid w:val="00C72D82"/>
    <w:rsid w:val="00C741FB"/>
    <w:rsid w:val="00CB5404"/>
    <w:rsid w:val="00CB578A"/>
    <w:rsid w:val="00CD31C9"/>
    <w:rsid w:val="00CD4449"/>
    <w:rsid w:val="00CE78EF"/>
    <w:rsid w:val="00CF2589"/>
    <w:rsid w:val="00D00279"/>
    <w:rsid w:val="00D12284"/>
    <w:rsid w:val="00D15849"/>
    <w:rsid w:val="00D214B5"/>
    <w:rsid w:val="00D22EDC"/>
    <w:rsid w:val="00D4258E"/>
    <w:rsid w:val="00D45B8D"/>
    <w:rsid w:val="00D57880"/>
    <w:rsid w:val="00D66D98"/>
    <w:rsid w:val="00D96FD2"/>
    <w:rsid w:val="00D9712E"/>
    <w:rsid w:val="00DA510E"/>
    <w:rsid w:val="00DA6AF0"/>
    <w:rsid w:val="00DD0126"/>
    <w:rsid w:val="00DE0670"/>
    <w:rsid w:val="00DF6277"/>
    <w:rsid w:val="00E01C19"/>
    <w:rsid w:val="00E02335"/>
    <w:rsid w:val="00E12F36"/>
    <w:rsid w:val="00E14C40"/>
    <w:rsid w:val="00E2032A"/>
    <w:rsid w:val="00E22E22"/>
    <w:rsid w:val="00E26E2D"/>
    <w:rsid w:val="00E429E1"/>
    <w:rsid w:val="00E61818"/>
    <w:rsid w:val="00E6344C"/>
    <w:rsid w:val="00E64EE5"/>
    <w:rsid w:val="00E7195E"/>
    <w:rsid w:val="00E725E5"/>
    <w:rsid w:val="00E86550"/>
    <w:rsid w:val="00EA21E9"/>
    <w:rsid w:val="00EC1D45"/>
    <w:rsid w:val="00EC2E98"/>
    <w:rsid w:val="00EC7AB3"/>
    <w:rsid w:val="00ED516D"/>
    <w:rsid w:val="00ED7AEC"/>
    <w:rsid w:val="00EE240D"/>
    <w:rsid w:val="00EF231A"/>
    <w:rsid w:val="00F0251A"/>
    <w:rsid w:val="00F1345F"/>
    <w:rsid w:val="00F21245"/>
    <w:rsid w:val="00F248EB"/>
    <w:rsid w:val="00F577DA"/>
    <w:rsid w:val="00F66770"/>
    <w:rsid w:val="00F66FC8"/>
    <w:rsid w:val="00F67C75"/>
    <w:rsid w:val="00F74879"/>
    <w:rsid w:val="00F74929"/>
    <w:rsid w:val="00F95066"/>
    <w:rsid w:val="00FA16F9"/>
    <w:rsid w:val="00FB4E54"/>
    <w:rsid w:val="00FC1EA6"/>
    <w:rsid w:val="00FC3A3E"/>
    <w:rsid w:val="00FD7C4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2F1151"/>
    <w:pPr>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2F1151"/>
    <w:pPr>
      <w:keepNext/>
      <w:outlineLvl w:val="0"/>
    </w:pPr>
    <w:rPr>
      <w:sz w:val="28"/>
    </w:rPr>
  </w:style>
  <w:style w:type="paragraph" w:styleId="Nagwek2">
    <w:name w:val="heading 2"/>
    <w:basedOn w:val="Normalny"/>
    <w:next w:val="Normalny"/>
    <w:link w:val="Nagwek2Znak"/>
    <w:semiHidden/>
    <w:unhideWhenUsed/>
    <w:qFormat/>
    <w:rsid w:val="002F1151"/>
    <w:pPr>
      <w:keepNext/>
      <w:ind w:left="4248" w:firstLine="708"/>
      <w:jc w:val="both"/>
      <w:outlineLvl w:val="1"/>
    </w:pPr>
    <w:rPr>
      <w:sz w:val="28"/>
    </w:rPr>
  </w:style>
  <w:style w:type="paragraph" w:styleId="Nagwek3">
    <w:name w:val="heading 3"/>
    <w:basedOn w:val="Normalny"/>
    <w:next w:val="Normalny"/>
    <w:link w:val="Nagwek3Znak"/>
    <w:semiHidden/>
    <w:unhideWhenUsed/>
    <w:qFormat/>
    <w:rsid w:val="002F1151"/>
    <w:pPr>
      <w:keepNext/>
      <w:numPr>
        <w:numId w:val="6"/>
      </w:numPr>
      <w:spacing w:after="360"/>
      <w:outlineLvl w:val="2"/>
    </w:pPr>
    <w:rPr>
      <w:rFonts w:ascii="Arial" w:hAnsi="Arial"/>
      <w:b/>
      <w:sz w:val="28"/>
    </w:rPr>
  </w:style>
  <w:style w:type="paragraph" w:styleId="Nagwek4">
    <w:name w:val="heading 4"/>
    <w:basedOn w:val="Normalny"/>
    <w:next w:val="Normalny"/>
    <w:link w:val="Nagwek4Znak"/>
    <w:semiHidden/>
    <w:unhideWhenUsed/>
    <w:qFormat/>
    <w:rsid w:val="002F1151"/>
    <w:pPr>
      <w:keepNext/>
      <w:outlineLvl w:val="3"/>
    </w:pPr>
    <w:rPr>
      <w:sz w:val="24"/>
    </w:rPr>
  </w:style>
  <w:style w:type="paragraph" w:styleId="Nagwek5">
    <w:name w:val="heading 5"/>
    <w:basedOn w:val="Normalny"/>
    <w:next w:val="Normalny"/>
    <w:link w:val="Nagwek5Znak"/>
    <w:semiHidden/>
    <w:unhideWhenUsed/>
    <w:qFormat/>
    <w:rsid w:val="002F1151"/>
    <w:pPr>
      <w:keepNext/>
      <w:outlineLvl w:val="4"/>
    </w:pPr>
    <w:rPr>
      <w:b/>
      <w:sz w:val="24"/>
    </w:rPr>
  </w:style>
  <w:style w:type="paragraph" w:styleId="Nagwek6">
    <w:name w:val="heading 6"/>
    <w:basedOn w:val="Normalny"/>
    <w:next w:val="Normalny"/>
    <w:link w:val="Nagwek6Znak"/>
    <w:semiHidden/>
    <w:unhideWhenUsed/>
    <w:qFormat/>
    <w:rsid w:val="002F1151"/>
    <w:pPr>
      <w:keepNext/>
      <w:ind w:left="5103"/>
      <w:outlineLvl w:val="5"/>
    </w:pPr>
    <w:rPr>
      <w:sz w:val="28"/>
    </w:rPr>
  </w:style>
  <w:style w:type="paragraph" w:styleId="Nagwek7">
    <w:name w:val="heading 7"/>
    <w:basedOn w:val="Normalny"/>
    <w:next w:val="Normalny"/>
    <w:link w:val="Nagwek7Znak"/>
    <w:uiPriority w:val="99"/>
    <w:semiHidden/>
    <w:unhideWhenUsed/>
    <w:qFormat/>
    <w:rsid w:val="002F1151"/>
    <w:pPr>
      <w:keepNext/>
      <w:ind w:left="4820"/>
      <w:outlineLvl w:val="6"/>
    </w:pPr>
    <w:rPr>
      <w:b/>
      <w:sz w:val="32"/>
    </w:rPr>
  </w:style>
  <w:style w:type="paragraph" w:styleId="Nagwek8">
    <w:name w:val="heading 8"/>
    <w:basedOn w:val="Normalny"/>
    <w:next w:val="Normalny"/>
    <w:link w:val="Nagwek8Znak"/>
    <w:uiPriority w:val="99"/>
    <w:semiHidden/>
    <w:unhideWhenUsed/>
    <w:qFormat/>
    <w:rsid w:val="002F1151"/>
    <w:pPr>
      <w:keepNext/>
      <w:jc w:val="center"/>
      <w:outlineLvl w:val="7"/>
    </w:pPr>
    <w:rPr>
      <w:sz w:val="28"/>
    </w:rPr>
  </w:style>
  <w:style w:type="paragraph" w:styleId="Nagwek9">
    <w:name w:val="heading 9"/>
    <w:basedOn w:val="Normalny"/>
    <w:next w:val="Normalny"/>
    <w:link w:val="Nagwek9Znak"/>
    <w:uiPriority w:val="99"/>
    <w:semiHidden/>
    <w:unhideWhenUsed/>
    <w:qFormat/>
    <w:rsid w:val="002F1151"/>
    <w:pPr>
      <w:keepNext/>
      <w:spacing w:line="360" w:lineRule="auto"/>
      <w:ind w:left="360"/>
      <w:jc w:val="both"/>
      <w:outlineLvl w:val="8"/>
    </w:pPr>
    <w:rPr>
      <w:rFonts w:ascii="Arial Narrow" w:hAnsi="Arial Narrow"/>
      <w:b/>
      <w:sz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Default">
    <w:name w:val="Default"/>
    <w:uiPriority w:val="99"/>
    <w:rsid w:val="00801830"/>
    <w:pPr>
      <w:autoSpaceDE w:val="0"/>
      <w:autoSpaceDN w:val="0"/>
      <w:adjustRightInd w:val="0"/>
      <w:spacing w:after="0" w:line="240" w:lineRule="auto"/>
    </w:pPr>
    <w:rPr>
      <w:rFonts w:ascii="Calibri" w:hAnsi="Calibri" w:cs="Calibri"/>
      <w:color w:val="000000"/>
      <w:sz w:val="24"/>
      <w:szCs w:val="24"/>
    </w:rPr>
  </w:style>
  <w:style w:type="character" w:customStyle="1" w:styleId="Nagwek1Znak">
    <w:name w:val="Nagłówek 1 Znak"/>
    <w:basedOn w:val="Domylnaczcionkaakapitu"/>
    <w:link w:val="Nagwek1"/>
    <w:rsid w:val="002F1151"/>
    <w:rPr>
      <w:rFonts w:ascii="Times New Roman" w:eastAsia="Times New Roman" w:hAnsi="Times New Roman" w:cs="Times New Roman"/>
      <w:sz w:val="28"/>
      <w:szCs w:val="20"/>
      <w:lang w:eastAsia="pl-PL"/>
    </w:rPr>
  </w:style>
  <w:style w:type="character" w:customStyle="1" w:styleId="Nagwek2Znak">
    <w:name w:val="Nagłówek 2 Znak"/>
    <w:basedOn w:val="Domylnaczcionkaakapitu"/>
    <w:link w:val="Nagwek2"/>
    <w:semiHidden/>
    <w:rsid w:val="002F1151"/>
    <w:rPr>
      <w:rFonts w:ascii="Times New Roman" w:eastAsia="Times New Roman" w:hAnsi="Times New Roman" w:cs="Times New Roman"/>
      <w:sz w:val="28"/>
      <w:szCs w:val="20"/>
      <w:lang w:eastAsia="pl-PL"/>
    </w:rPr>
  </w:style>
  <w:style w:type="character" w:customStyle="1" w:styleId="Nagwek3Znak">
    <w:name w:val="Nagłówek 3 Znak"/>
    <w:basedOn w:val="Domylnaczcionkaakapitu"/>
    <w:link w:val="Nagwek3"/>
    <w:semiHidden/>
    <w:rsid w:val="002F1151"/>
    <w:rPr>
      <w:rFonts w:ascii="Arial" w:eastAsia="Times New Roman" w:hAnsi="Arial" w:cs="Times New Roman"/>
      <w:b/>
      <w:sz w:val="28"/>
      <w:szCs w:val="20"/>
      <w:lang w:eastAsia="pl-PL"/>
    </w:rPr>
  </w:style>
  <w:style w:type="character" w:customStyle="1" w:styleId="Nagwek4Znak">
    <w:name w:val="Nagłówek 4 Znak"/>
    <w:basedOn w:val="Domylnaczcionkaakapitu"/>
    <w:link w:val="Nagwek4"/>
    <w:semiHidden/>
    <w:rsid w:val="002F1151"/>
    <w:rPr>
      <w:rFonts w:ascii="Times New Roman" w:eastAsia="Times New Roman" w:hAnsi="Times New Roman" w:cs="Times New Roman"/>
      <w:sz w:val="24"/>
      <w:szCs w:val="20"/>
      <w:lang w:eastAsia="pl-PL"/>
    </w:rPr>
  </w:style>
  <w:style w:type="character" w:customStyle="1" w:styleId="Nagwek5Znak">
    <w:name w:val="Nagłówek 5 Znak"/>
    <w:basedOn w:val="Domylnaczcionkaakapitu"/>
    <w:link w:val="Nagwek5"/>
    <w:semiHidden/>
    <w:rsid w:val="002F1151"/>
    <w:rPr>
      <w:rFonts w:ascii="Times New Roman" w:eastAsia="Times New Roman" w:hAnsi="Times New Roman" w:cs="Times New Roman"/>
      <w:b/>
      <w:sz w:val="24"/>
      <w:szCs w:val="20"/>
      <w:lang w:eastAsia="pl-PL"/>
    </w:rPr>
  </w:style>
  <w:style w:type="character" w:customStyle="1" w:styleId="Nagwek6Znak">
    <w:name w:val="Nagłówek 6 Znak"/>
    <w:basedOn w:val="Domylnaczcionkaakapitu"/>
    <w:link w:val="Nagwek6"/>
    <w:semiHidden/>
    <w:rsid w:val="002F1151"/>
    <w:rPr>
      <w:rFonts w:ascii="Times New Roman" w:eastAsia="Times New Roman" w:hAnsi="Times New Roman" w:cs="Times New Roman"/>
      <w:sz w:val="28"/>
      <w:szCs w:val="20"/>
      <w:lang w:eastAsia="pl-PL"/>
    </w:rPr>
  </w:style>
  <w:style w:type="character" w:customStyle="1" w:styleId="Nagwek7Znak">
    <w:name w:val="Nagłówek 7 Znak"/>
    <w:basedOn w:val="Domylnaczcionkaakapitu"/>
    <w:link w:val="Nagwek7"/>
    <w:uiPriority w:val="99"/>
    <w:semiHidden/>
    <w:rsid w:val="002F1151"/>
    <w:rPr>
      <w:rFonts w:ascii="Times New Roman" w:eastAsia="Times New Roman" w:hAnsi="Times New Roman" w:cs="Times New Roman"/>
      <w:b/>
      <w:sz w:val="32"/>
      <w:szCs w:val="20"/>
      <w:lang w:eastAsia="pl-PL"/>
    </w:rPr>
  </w:style>
  <w:style w:type="character" w:customStyle="1" w:styleId="Nagwek8Znak">
    <w:name w:val="Nagłówek 8 Znak"/>
    <w:basedOn w:val="Domylnaczcionkaakapitu"/>
    <w:link w:val="Nagwek8"/>
    <w:uiPriority w:val="99"/>
    <w:semiHidden/>
    <w:rsid w:val="002F1151"/>
    <w:rPr>
      <w:rFonts w:ascii="Times New Roman" w:eastAsia="Times New Roman" w:hAnsi="Times New Roman" w:cs="Times New Roman"/>
      <w:sz w:val="28"/>
      <w:szCs w:val="20"/>
      <w:lang w:eastAsia="pl-PL"/>
    </w:rPr>
  </w:style>
  <w:style w:type="character" w:customStyle="1" w:styleId="Nagwek9Znak">
    <w:name w:val="Nagłówek 9 Znak"/>
    <w:basedOn w:val="Domylnaczcionkaakapitu"/>
    <w:link w:val="Nagwek9"/>
    <w:uiPriority w:val="99"/>
    <w:semiHidden/>
    <w:rsid w:val="002F1151"/>
    <w:rPr>
      <w:rFonts w:ascii="Arial Narrow" w:eastAsia="Times New Roman" w:hAnsi="Arial Narrow" w:cs="Times New Roman"/>
      <w:b/>
      <w:sz w:val="24"/>
      <w:szCs w:val="20"/>
      <w:lang w:eastAsia="pl-PL"/>
    </w:rPr>
  </w:style>
  <w:style w:type="paragraph" w:styleId="NormalnyWeb">
    <w:name w:val="Normal (Web)"/>
    <w:basedOn w:val="Normalny"/>
    <w:uiPriority w:val="99"/>
    <w:semiHidden/>
    <w:unhideWhenUsed/>
    <w:rsid w:val="002F1151"/>
    <w:pPr>
      <w:spacing w:before="100" w:beforeAutospacing="1" w:after="100" w:afterAutospacing="1"/>
    </w:pPr>
    <w:rPr>
      <w:sz w:val="24"/>
      <w:szCs w:val="24"/>
    </w:rPr>
  </w:style>
  <w:style w:type="paragraph" w:styleId="Tekstkomentarza">
    <w:name w:val="annotation text"/>
    <w:basedOn w:val="Normalny"/>
    <w:link w:val="TekstkomentarzaZnak"/>
    <w:uiPriority w:val="99"/>
    <w:semiHidden/>
    <w:unhideWhenUsed/>
    <w:rsid w:val="002F1151"/>
  </w:style>
  <w:style w:type="character" w:customStyle="1" w:styleId="TekstkomentarzaZnak">
    <w:name w:val="Tekst komentarza Znak"/>
    <w:basedOn w:val="Domylnaczcionkaakapitu"/>
    <w:link w:val="Tekstkomentarza"/>
    <w:uiPriority w:val="99"/>
    <w:semiHidden/>
    <w:rsid w:val="002F1151"/>
    <w:rPr>
      <w:rFonts w:ascii="Times New Roman" w:eastAsia="Times New Roman" w:hAnsi="Times New Roman" w:cs="Times New Roman"/>
      <w:sz w:val="20"/>
      <w:szCs w:val="20"/>
      <w:lang w:eastAsia="pl-PL"/>
    </w:rPr>
  </w:style>
  <w:style w:type="paragraph" w:styleId="Nagwek">
    <w:name w:val="header"/>
    <w:basedOn w:val="Normalny"/>
    <w:link w:val="NagwekZnak"/>
    <w:uiPriority w:val="99"/>
    <w:semiHidden/>
    <w:unhideWhenUsed/>
    <w:rsid w:val="002F1151"/>
    <w:pPr>
      <w:tabs>
        <w:tab w:val="center" w:pos="4536"/>
        <w:tab w:val="right" w:pos="9072"/>
      </w:tabs>
    </w:pPr>
  </w:style>
  <w:style w:type="character" w:customStyle="1" w:styleId="NagwekZnak">
    <w:name w:val="Nagłówek Znak"/>
    <w:basedOn w:val="Domylnaczcionkaakapitu"/>
    <w:link w:val="Nagwek"/>
    <w:uiPriority w:val="99"/>
    <w:semiHidden/>
    <w:rsid w:val="002F1151"/>
    <w:rPr>
      <w:rFonts w:ascii="Times New Roman" w:eastAsia="Times New Roman" w:hAnsi="Times New Roman" w:cs="Times New Roman"/>
      <w:sz w:val="20"/>
      <w:szCs w:val="20"/>
      <w:lang w:eastAsia="pl-PL"/>
    </w:rPr>
  </w:style>
  <w:style w:type="paragraph" w:styleId="Stopka">
    <w:name w:val="footer"/>
    <w:basedOn w:val="Normalny"/>
    <w:link w:val="StopkaZnak"/>
    <w:uiPriority w:val="99"/>
    <w:unhideWhenUsed/>
    <w:rsid w:val="002F1151"/>
    <w:pPr>
      <w:tabs>
        <w:tab w:val="center" w:pos="4536"/>
        <w:tab w:val="right" w:pos="9072"/>
      </w:tabs>
    </w:pPr>
  </w:style>
  <w:style w:type="character" w:customStyle="1" w:styleId="StopkaZnak">
    <w:name w:val="Stopka Znak"/>
    <w:basedOn w:val="Domylnaczcionkaakapitu"/>
    <w:link w:val="Stopka"/>
    <w:uiPriority w:val="99"/>
    <w:rsid w:val="002F1151"/>
    <w:rPr>
      <w:rFonts w:ascii="Times New Roman" w:eastAsia="Times New Roman" w:hAnsi="Times New Roman" w:cs="Times New Roman"/>
      <w:sz w:val="20"/>
      <w:szCs w:val="20"/>
      <w:lang w:eastAsia="pl-PL"/>
    </w:rPr>
  </w:style>
  <w:style w:type="paragraph" w:styleId="Tytu">
    <w:name w:val="Title"/>
    <w:basedOn w:val="Normalny"/>
    <w:link w:val="TytuZnak"/>
    <w:uiPriority w:val="99"/>
    <w:qFormat/>
    <w:rsid w:val="002F1151"/>
    <w:pPr>
      <w:jc w:val="center"/>
    </w:pPr>
    <w:rPr>
      <w:rFonts w:ascii="Tahoma" w:hAnsi="Tahoma"/>
      <w:b/>
      <w:sz w:val="44"/>
    </w:rPr>
  </w:style>
  <w:style w:type="character" w:customStyle="1" w:styleId="TytuZnak">
    <w:name w:val="Tytuł Znak"/>
    <w:basedOn w:val="Domylnaczcionkaakapitu"/>
    <w:link w:val="Tytu"/>
    <w:uiPriority w:val="99"/>
    <w:rsid w:val="002F1151"/>
    <w:rPr>
      <w:rFonts w:ascii="Tahoma" w:eastAsia="Times New Roman" w:hAnsi="Tahoma" w:cs="Times New Roman"/>
      <w:b/>
      <w:sz w:val="44"/>
      <w:szCs w:val="20"/>
      <w:lang w:eastAsia="pl-PL"/>
    </w:rPr>
  </w:style>
  <w:style w:type="paragraph" w:styleId="Tekstpodstawowy">
    <w:name w:val="Body Text"/>
    <w:basedOn w:val="Normalny"/>
    <w:link w:val="TekstpodstawowyZnak"/>
    <w:uiPriority w:val="99"/>
    <w:semiHidden/>
    <w:unhideWhenUsed/>
    <w:rsid w:val="002F1151"/>
    <w:pPr>
      <w:jc w:val="both"/>
    </w:pPr>
    <w:rPr>
      <w:sz w:val="28"/>
    </w:rPr>
  </w:style>
  <w:style w:type="character" w:customStyle="1" w:styleId="TekstpodstawowyZnak">
    <w:name w:val="Tekst podstawowy Znak"/>
    <w:basedOn w:val="Domylnaczcionkaakapitu"/>
    <w:link w:val="Tekstpodstawowy"/>
    <w:uiPriority w:val="99"/>
    <w:semiHidden/>
    <w:rsid w:val="002F1151"/>
    <w:rPr>
      <w:rFonts w:ascii="Times New Roman" w:eastAsia="Times New Roman" w:hAnsi="Times New Roman" w:cs="Times New Roman"/>
      <w:sz w:val="28"/>
      <w:szCs w:val="20"/>
      <w:lang w:eastAsia="pl-PL"/>
    </w:rPr>
  </w:style>
  <w:style w:type="paragraph" w:styleId="Tekstpodstawowywcity">
    <w:name w:val="Body Text Indent"/>
    <w:basedOn w:val="Normalny"/>
    <w:link w:val="TekstpodstawowywcityZnak"/>
    <w:uiPriority w:val="99"/>
    <w:semiHidden/>
    <w:unhideWhenUsed/>
    <w:rsid w:val="002F1151"/>
    <w:pPr>
      <w:ind w:firstLine="708"/>
      <w:jc w:val="both"/>
    </w:pPr>
    <w:rPr>
      <w:sz w:val="28"/>
    </w:rPr>
  </w:style>
  <w:style w:type="character" w:customStyle="1" w:styleId="TekstpodstawowywcityZnak">
    <w:name w:val="Tekst podstawowy wcięty Znak"/>
    <w:basedOn w:val="Domylnaczcionkaakapitu"/>
    <w:link w:val="Tekstpodstawowywcity"/>
    <w:uiPriority w:val="99"/>
    <w:semiHidden/>
    <w:rsid w:val="002F1151"/>
    <w:rPr>
      <w:rFonts w:ascii="Times New Roman" w:eastAsia="Times New Roman" w:hAnsi="Times New Roman" w:cs="Times New Roman"/>
      <w:sz w:val="28"/>
      <w:szCs w:val="20"/>
      <w:lang w:eastAsia="pl-PL"/>
    </w:rPr>
  </w:style>
  <w:style w:type="paragraph" w:styleId="Tekstpodstawowy2">
    <w:name w:val="Body Text 2"/>
    <w:basedOn w:val="Normalny"/>
    <w:link w:val="Tekstpodstawowy2Znak"/>
    <w:uiPriority w:val="99"/>
    <w:semiHidden/>
    <w:unhideWhenUsed/>
    <w:rsid w:val="002F1151"/>
    <w:rPr>
      <w:sz w:val="28"/>
    </w:rPr>
  </w:style>
  <w:style w:type="character" w:customStyle="1" w:styleId="Tekstpodstawowy2Znak">
    <w:name w:val="Tekst podstawowy 2 Znak"/>
    <w:basedOn w:val="Domylnaczcionkaakapitu"/>
    <w:link w:val="Tekstpodstawowy2"/>
    <w:uiPriority w:val="99"/>
    <w:semiHidden/>
    <w:rsid w:val="002F1151"/>
    <w:rPr>
      <w:rFonts w:ascii="Times New Roman" w:eastAsia="Times New Roman" w:hAnsi="Times New Roman" w:cs="Times New Roman"/>
      <w:sz w:val="28"/>
      <w:szCs w:val="20"/>
      <w:lang w:eastAsia="pl-PL"/>
    </w:rPr>
  </w:style>
  <w:style w:type="paragraph" w:styleId="Tekstpodstawowy3">
    <w:name w:val="Body Text 3"/>
    <w:basedOn w:val="Normalny"/>
    <w:link w:val="Tekstpodstawowy3Znak"/>
    <w:uiPriority w:val="99"/>
    <w:semiHidden/>
    <w:unhideWhenUsed/>
    <w:rsid w:val="002F1151"/>
    <w:pPr>
      <w:spacing w:line="360" w:lineRule="auto"/>
      <w:jc w:val="both"/>
    </w:pPr>
    <w:rPr>
      <w:b/>
      <w:sz w:val="22"/>
    </w:rPr>
  </w:style>
  <w:style w:type="character" w:customStyle="1" w:styleId="Tekstpodstawowy3Znak">
    <w:name w:val="Tekst podstawowy 3 Znak"/>
    <w:basedOn w:val="Domylnaczcionkaakapitu"/>
    <w:link w:val="Tekstpodstawowy3"/>
    <w:uiPriority w:val="99"/>
    <w:semiHidden/>
    <w:rsid w:val="002F1151"/>
    <w:rPr>
      <w:rFonts w:ascii="Times New Roman" w:eastAsia="Times New Roman" w:hAnsi="Times New Roman" w:cs="Times New Roman"/>
      <w:b/>
      <w:szCs w:val="20"/>
      <w:lang w:eastAsia="pl-PL"/>
    </w:rPr>
  </w:style>
  <w:style w:type="paragraph" w:styleId="Tekstpodstawowywcity2">
    <w:name w:val="Body Text Indent 2"/>
    <w:basedOn w:val="Normalny"/>
    <w:link w:val="Tekstpodstawowywcity2Znak"/>
    <w:uiPriority w:val="99"/>
    <w:semiHidden/>
    <w:unhideWhenUsed/>
    <w:rsid w:val="002F1151"/>
    <w:pPr>
      <w:ind w:left="1985" w:hanging="1134"/>
      <w:jc w:val="both"/>
    </w:pPr>
    <w:rPr>
      <w:sz w:val="24"/>
    </w:rPr>
  </w:style>
  <w:style w:type="character" w:customStyle="1" w:styleId="Tekstpodstawowywcity2Znak">
    <w:name w:val="Tekst podstawowy wcięty 2 Znak"/>
    <w:basedOn w:val="Domylnaczcionkaakapitu"/>
    <w:link w:val="Tekstpodstawowywcity2"/>
    <w:uiPriority w:val="99"/>
    <w:semiHidden/>
    <w:rsid w:val="002F1151"/>
    <w:rPr>
      <w:rFonts w:ascii="Times New Roman" w:eastAsia="Times New Roman" w:hAnsi="Times New Roman" w:cs="Times New Roman"/>
      <w:sz w:val="24"/>
      <w:szCs w:val="20"/>
      <w:lang w:eastAsia="pl-PL"/>
    </w:rPr>
  </w:style>
  <w:style w:type="paragraph" w:styleId="Tekstpodstawowywcity3">
    <w:name w:val="Body Text Indent 3"/>
    <w:basedOn w:val="Normalny"/>
    <w:link w:val="Tekstpodstawowywcity3Znak"/>
    <w:uiPriority w:val="99"/>
    <w:semiHidden/>
    <w:unhideWhenUsed/>
    <w:rsid w:val="002F1151"/>
    <w:pPr>
      <w:ind w:left="4820"/>
    </w:pPr>
    <w:rPr>
      <w:b/>
      <w:bCs/>
      <w:sz w:val="28"/>
    </w:rPr>
  </w:style>
  <w:style w:type="character" w:customStyle="1" w:styleId="Tekstpodstawowywcity3Znak">
    <w:name w:val="Tekst podstawowy wcięty 3 Znak"/>
    <w:basedOn w:val="Domylnaczcionkaakapitu"/>
    <w:link w:val="Tekstpodstawowywcity3"/>
    <w:uiPriority w:val="99"/>
    <w:semiHidden/>
    <w:rsid w:val="002F1151"/>
    <w:rPr>
      <w:rFonts w:ascii="Times New Roman" w:eastAsia="Times New Roman" w:hAnsi="Times New Roman" w:cs="Times New Roman"/>
      <w:b/>
      <w:bCs/>
      <w:sz w:val="28"/>
      <w:szCs w:val="20"/>
      <w:lang w:eastAsia="pl-PL"/>
    </w:rPr>
  </w:style>
  <w:style w:type="paragraph" w:styleId="Mapadokumentu">
    <w:name w:val="Document Map"/>
    <w:basedOn w:val="Normalny"/>
    <w:link w:val="MapadokumentuZnak"/>
    <w:uiPriority w:val="99"/>
    <w:semiHidden/>
    <w:unhideWhenUsed/>
    <w:rsid w:val="002F1151"/>
    <w:pPr>
      <w:shd w:val="clear" w:color="auto" w:fill="000080"/>
    </w:pPr>
    <w:rPr>
      <w:rFonts w:ascii="Tahoma" w:hAnsi="Tahoma"/>
    </w:rPr>
  </w:style>
  <w:style w:type="character" w:customStyle="1" w:styleId="MapadokumentuZnak">
    <w:name w:val="Mapa dokumentu Znak"/>
    <w:basedOn w:val="Domylnaczcionkaakapitu"/>
    <w:link w:val="Mapadokumentu"/>
    <w:uiPriority w:val="99"/>
    <w:semiHidden/>
    <w:rsid w:val="002F1151"/>
    <w:rPr>
      <w:rFonts w:ascii="Tahoma" w:eastAsia="Times New Roman" w:hAnsi="Tahoma" w:cs="Times New Roman"/>
      <w:sz w:val="20"/>
      <w:szCs w:val="20"/>
      <w:shd w:val="clear" w:color="auto" w:fill="000080"/>
      <w:lang w:eastAsia="pl-PL"/>
    </w:rPr>
  </w:style>
  <w:style w:type="paragraph" w:styleId="Tematkomentarza">
    <w:name w:val="annotation subject"/>
    <w:basedOn w:val="Tekstkomentarza"/>
    <w:next w:val="Tekstkomentarza"/>
    <w:link w:val="TematkomentarzaZnak"/>
    <w:uiPriority w:val="99"/>
    <w:semiHidden/>
    <w:unhideWhenUsed/>
    <w:rsid w:val="002F1151"/>
    <w:rPr>
      <w:b/>
      <w:bCs/>
    </w:rPr>
  </w:style>
  <w:style w:type="character" w:customStyle="1" w:styleId="TematkomentarzaZnak">
    <w:name w:val="Temat komentarza Znak"/>
    <w:basedOn w:val="TekstkomentarzaZnak"/>
    <w:link w:val="Tematkomentarza"/>
    <w:uiPriority w:val="99"/>
    <w:semiHidden/>
    <w:rsid w:val="002F1151"/>
    <w:rPr>
      <w:rFonts w:ascii="Times New Roman" w:eastAsia="Times New Roman" w:hAnsi="Times New Roman" w:cs="Times New Roman"/>
      <w:b/>
      <w:bCs/>
      <w:sz w:val="20"/>
      <w:szCs w:val="20"/>
      <w:lang w:eastAsia="pl-PL"/>
    </w:rPr>
  </w:style>
  <w:style w:type="paragraph" w:styleId="Tekstdymka">
    <w:name w:val="Balloon Text"/>
    <w:basedOn w:val="Normalny"/>
    <w:link w:val="TekstdymkaZnak"/>
    <w:uiPriority w:val="99"/>
    <w:semiHidden/>
    <w:unhideWhenUsed/>
    <w:rsid w:val="002F1151"/>
    <w:rPr>
      <w:rFonts w:ascii="Tahoma" w:hAnsi="Tahoma" w:cs="Tahoma"/>
      <w:sz w:val="16"/>
      <w:szCs w:val="16"/>
    </w:rPr>
  </w:style>
  <w:style w:type="character" w:customStyle="1" w:styleId="TekstdymkaZnak">
    <w:name w:val="Tekst dymka Znak"/>
    <w:basedOn w:val="Domylnaczcionkaakapitu"/>
    <w:link w:val="Tekstdymka"/>
    <w:uiPriority w:val="99"/>
    <w:semiHidden/>
    <w:rsid w:val="002F1151"/>
    <w:rPr>
      <w:rFonts w:ascii="Tahoma" w:eastAsia="Times New Roman" w:hAnsi="Tahoma" w:cs="Tahoma"/>
      <w:sz w:val="16"/>
      <w:szCs w:val="16"/>
      <w:lang w:eastAsia="pl-PL"/>
    </w:rPr>
  </w:style>
  <w:style w:type="paragraph" w:styleId="Akapitzlist">
    <w:name w:val="List Paragraph"/>
    <w:basedOn w:val="Normalny"/>
    <w:uiPriority w:val="34"/>
    <w:qFormat/>
    <w:rsid w:val="002F1151"/>
    <w:pPr>
      <w:ind w:left="708"/>
    </w:pPr>
  </w:style>
  <w:style w:type="character" w:styleId="Odwoaniedokomentarza">
    <w:name w:val="annotation reference"/>
    <w:basedOn w:val="Domylnaczcionkaakapitu"/>
    <w:semiHidden/>
    <w:unhideWhenUsed/>
    <w:rsid w:val="002F1151"/>
    <w:rPr>
      <w:sz w:val="16"/>
      <w:szCs w:val="16"/>
    </w:rPr>
  </w:style>
  <w:style w:type="table" w:styleId="Tabela-Siatka">
    <w:name w:val="Table Grid"/>
    <w:basedOn w:val="Standardowy"/>
    <w:rsid w:val="002F11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przypisudolnego">
    <w:name w:val="footnote text"/>
    <w:basedOn w:val="Normalny"/>
    <w:link w:val="TekstprzypisudolnegoZnak"/>
    <w:uiPriority w:val="99"/>
    <w:semiHidden/>
    <w:unhideWhenUsed/>
    <w:rsid w:val="004B737D"/>
  </w:style>
  <w:style w:type="character" w:customStyle="1" w:styleId="TekstprzypisudolnegoZnak">
    <w:name w:val="Tekst przypisu dolnego Znak"/>
    <w:basedOn w:val="Domylnaczcionkaakapitu"/>
    <w:link w:val="Tekstprzypisudolnego"/>
    <w:uiPriority w:val="99"/>
    <w:semiHidden/>
    <w:rsid w:val="004B737D"/>
    <w:rPr>
      <w:rFonts w:ascii="Times New Roman" w:eastAsia="Times New Roman" w:hAnsi="Times New Roman" w:cs="Times New Roman"/>
      <w:sz w:val="20"/>
      <w:szCs w:val="20"/>
      <w:lang w:eastAsia="pl-PL"/>
    </w:rPr>
  </w:style>
  <w:style w:type="character" w:styleId="Odwoanieprzypisudolnego">
    <w:name w:val="footnote reference"/>
    <w:basedOn w:val="Domylnaczcionkaakapitu"/>
    <w:uiPriority w:val="99"/>
    <w:semiHidden/>
    <w:unhideWhenUsed/>
    <w:rsid w:val="004B737D"/>
    <w:rPr>
      <w:vertAlign w:val="superscript"/>
    </w:rPr>
  </w:style>
  <w:style w:type="paragraph" w:styleId="Tekstprzypisukocowego">
    <w:name w:val="endnote text"/>
    <w:basedOn w:val="Normalny"/>
    <w:link w:val="TekstprzypisukocowegoZnak"/>
    <w:uiPriority w:val="99"/>
    <w:semiHidden/>
    <w:unhideWhenUsed/>
    <w:rsid w:val="004E232B"/>
  </w:style>
  <w:style w:type="character" w:customStyle="1" w:styleId="TekstprzypisukocowegoZnak">
    <w:name w:val="Tekst przypisu końcowego Znak"/>
    <w:basedOn w:val="Domylnaczcionkaakapitu"/>
    <w:link w:val="Tekstprzypisukocowego"/>
    <w:uiPriority w:val="99"/>
    <w:semiHidden/>
    <w:rsid w:val="004E232B"/>
    <w:rPr>
      <w:rFonts w:ascii="Times New Roman" w:eastAsia="Times New Roman" w:hAnsi="Times New Roman" w:cs="Times New Roman"/>
      <w:sz w:val="20"/>
      <w:szCs w:val="20"/>
      <w:lang w:eastAsia="pl-PL"/>
    </w:rPr>
  </w:style>
  <w:style w:type="character" w:styleId="Odwoanieprzypisukocowego">
    <w:name w:val="endnote reference"/>
    <w:basedOn w:val="Domylnaczcionkaakapitu"/>
    <w:uiPriority w:val="99"/>
    <w:semiHidden/>
    <w:unhideWhenUsed/>
    <w:rsid w:val="004E232B"/>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2F1151"/>
    <w:pPr>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2F1151"/>
    <w:pPr>
      <w:keepNext/>
      <w:outlineLvl w:val="0"/>
    </w:pPr>
    <w:rPr>
      <w:sz w:val="28"/>
    </w:rPr>
  </w:style>
  <w:style w:type="paragraph" w:styleId="Nagwek2">
    <w:name w:val="heading 2"/>
    <w:basedOn w:val="Normalny"/>
    <w:next w:val="Normalny"/>
    <w:link w:val="Nagwek2Znak"/>
    <w:semiHidden/>
    <w:unhideWhenUsed/>
    <w:qFormat/>
    <w:rsid w:val="002F1151"/>
    <w:pPr>
      <w:keepNext/>
      <w:ind w:left="4248" w:firstLine="708"/>
      <w:jc w:val="both"/>
      <w:outlineLvl w:val="1"/>
    </w:pPr>
    <w:rPr>
      <w:sz w:val="28"/>
    </w:rPr>
  </w:style>
  <w:style w:type="paragraph" w:styleId="Nagwek3">
    <w:name w:val="heading 3"/>
    <w:basedOn w:val="Normalny"/>
    <w:next w:val="Normalny"/>
    <w:link w:val="Nagwek3Znak"/>
    <w:semiHidden/>
    <w:unhideWhenUsed/>
    <w:qFormat/>
    <w:rsid w:val="002F1151"/>
    <w:pPr>
      <w:keepNext/>
      <w:numPr>
        <w:numId w:val="6"/>
      </w:numPr>
      <w:spacing w:after="360"/>
      <w:outlineLvl w:val="2"/>
    </w:pPr>
    <w:rPr>
      <w:rFonts w:ascii="Arial" w:hAnsi="Arial"/>
      <w:b/>
      <w:sz w:val="28"/>
    </w:rPr>
  </w:style>
  <w:style w:type="paragraph" w:styleId="Nagwek4">
    <w:name w:val="heading 4"/>
    <w:basedOn w:val="Normalny"/>
    <w:next w:val="Normalny"/>
    <w:link w:val="Nagwek4Znak"/>
    <w:semiHidden/>
    <w:unhideWhenUsed/>
    <w:qFormat/>
    <w:rsid w:val="002F1151"/>
    <w:pPr>
      <w:keepNext/>
      <w:outlineLvl w:val="3"/>
    </w:pPr>
    <w:rPr>
      <w:sz w:val="24"/>
    </w:rPr>
  </w:style>
  <w:style w:type="paragraph" w:styleId="Nagwek5">
    <w:name w:val="heading 5"/>
    <w:basedOn w:val="Normalny"/>
    <w:next w:val="Normalny"/>
    <w:link w:val="Nagwek5Znak"/>
    <w:semiHidden/>
    <w:unhideWhenUsed/>
    <w:qFormat/>
    <w:rsid w:val="002F1151"/>
    <w:pPr>
      <w:keepNext/>
      <w:outlineLvl w:val="4"/>
    </w:pPr>
    <w:rPr>
      <w:b/>
      <w:sz w:val="24"/>
    </w:rPr>
  </w:style>
  <w:style w:type="paragraph" w:styleId="Nagwek6">
    <w:name w:val="heading 6"/>
    <w:basedOn w:val="Normalny"/>
    <w:next w:val="Normalny"/>
    <w:link w:val="Nagwek6Znak"/>
    <w:semiHidden/>
    <w:unhideWhenUsed/>
    <w:qFormat/>
    <w:rsid w:val="002F1151"/>
    <w:pPr>
      <w:keepNext/>
      <w:ind w:left="5103"/>
      <w:outlineLvl w:val="5"/>
    </w:pPr>
    <w:rPr>
      <w:sz w:val="28"/>
    </w:rPr>
  </w:style>
  <w:style w:type="paragraph" w:styleId="Nagwek7">
    <w:name w:val="heading 7"/>
    <w:basedOn w:val="Normalny"/>
    <w:next w:val="Normalny"/>
    <w:link w:val="Nagwek7Znak"/>
    <w:uiPriority w:val="99"/>
    <w:semiHidden/>
    <w:unhideWhenUsed/>
    <w:qFormat/>
    <w:rsid w:val="002F1151"/>
    <w:pPr>
      <w:keepNext/>
      <w:ind w:left="4820"/>
      <w:outlineLvl w:val="6"/>
    </w:pPr>
    <w:rPr>
      <w:b/>
      <w:sz w:val="32"/>
    </w:rPr>
  </w:style>
  <w:style w:type="paragraph" w:styleId="Nagwek8">
    <w:name w:val="heading 8"/>
    <w:basedOn w:val="Normalny"/>
    <w:next w:val="Normalny"/>
    <w:link w:val="Nagwek8Znak"/>
    <w:uiPriority w:val="99"/>
    <w:semiHidden/>
    <w:unhideWhenUsed/>
    <w:qFormat/>
    <w:rsid w:val="002F1151"/>
    <w:pPr>
      <w:keepNext/>
      <w:jc w:val="center"/>
      <w:outlineLvl w:val="7"/>
    </w:pPr>
    <w:rPr>
      <w:sz w:val="28"/>
    </w:rPr>
  </w:style>
  <w:style w:type="paragraph" w:styleId="Nagwek9">
    <w:name w:val="heading 9"/>
    <w:basedOn w:val="Normalny"/>
    <w:next w:val="Normalny"/>
    <w:link w:val="Nagwek9Znak"/>
    <w:uiPriority w:val="99"/>
    <w:semiHidden/>
    <w:unhideWhenUsed/>
    <w:qFormat/>
    <w:rsid w:val="002F1151"/>
    <w:pPr>
      <w:keepNext/>
      <w:spacing w:line="360" w:lineRule="auto"/>
      <w:ind w:left="360"/>
      <w:jc w:val="both"/>
      <w:outlineLvl w:val="8"/>
    </w:pPr>
    <w:rPr>
      <w:rFonts w:ascii="Arial Narrow" w:hAnsi="Arial Narrow"/>
      <w:b/>
      <w:sz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Default">
    <w:name w:val="Default"/>
    <w:uiPriority w:val="99"/>
    <w:rsid w:val="00801830"/>
    <w:pPr>
      <w:autoSpaceDE w:val="0"/>
      <w:autoSpaceDN w:val="0"/>
      <w:adjustRightInd w:val="0"/>
      <w:spacing w:after="0" w:line="240" w:lineRule="auto"/>
    </w:pPr>
    <w:rPr>
      <w:rFonts w:ascii="Calibri" w:hAnsi="Calibri" w:cs="Calibri"/>
      <w:color w:val="000000"/>
      <w:sz w:val="24"/>
      <w:szCs w:val="24"/>
    </w:rPr>
  </w:style>
  <w:style w:type="character" w:customStyle="1" w:styleId="Nagwek1Znak">
    <w:name w:val="Nagłówek 1 Znak"/>
    <w:basedOn w:val="Domylnaczcionkaakapitu"/>
    <w:link w:val="Nagwek1"/>
    <w:rsid w:val="002F1151"/>
    <w:rPr>
      <w:rFonts w:ascii="Times New Roman" w:eastAsia="Times New Roman" w:hAnsi="Times New Roman" w:cs="Times New Roman"/>
      <w:sz w:val="28"/>
      <w:szCs w:val="20"/>
      <w:lang w:eastAsia="pl-PL"/>
    </w:rPr>
  </w:style>
  <w:style w:type="character" w:customStyle="1" w:styleId="Nagwek2Znak">
    <w:name w:val="Nagłówek 2 Znak"/>
    <w:basedOn w:val="Domylnaczcionkaakapitu"/>
    <w:link w:val="Nagwek2"/>
    <w:semiHidden/>
    <w:rsid w:val="002F1151"/>
    <w:rPr>
      <w:rFonts w:ascii="Times New Roman" w:eastAsia="Times New Roman" w:hAnsi="Times New Roman" w:cs="Times New Roman"/>
      <w:sz w:val="28"/>
      <w:szCs w:val="20"/>
      <w:lang w:eastAsia="pl-PL"/>
    </w:rPr>
  </w:style>
  <w:style w:type="character" w:customStyle="1" w:styleId="Nagwek3Znak">
    <w:name w:val="Nagłówek 3 Znak"/>
    <w:basedOn w:val="Domylnaczcionkaakapitu"/>
    <w:link w:val="Nagwek3"/>
    <w:semiHidden/>
    <w:rsid w:val="002F1151"/>
    <w:rPr>
      <w:rFonts w:ascii="Arial" w:eastAsia="Times New Roman" w:hAnsi="Arial" w:cs="Times New Roman"/>
      <w:b/>
      <w:sz w:val="28"/>
      <w:szCs w:val="20"/>
      <w:lang w:eastAsia="pl-PL"/>
    </w:rPr>
  </w:style>
  <w:style w:type="character" w:customStyle="1" w:styleId="Nagwek4Znak">
    <w:name w:val="Nagłówek 4 Znak"/>
    <w:basedOn w:val="Domylnaczcionkaakapitu"/>
    <w:link w:val="Nagwek4"/>
    <w:semiHidden/>
    <w:rsid w:val="002F1151"/>
    <w:rPr>
      <w:rFonts w:ascii="Times New Roman" w:eastAsia="Times New Roman" w:hAnsi="Times New Roman" w:cs="Times New Roman"/>
      <w:sz w:val="24"/>
      <w:szCs w:val="20"/>
      <w:lang w:eastAsia="pl-PL"/>
    </w:rPr>
  </w:style>
  <w:style w:type="character" w:customStyle="1" w:styleId="Nagwek5Znak">
    <w:name w:val="Nagłówek 5 Znak"/>
    <w:basedOn w:val="Domylnaczcionkaakapitu"/>
    <w:link w:val="Nagwek5"/>
    <w:semiHidden/>
    <w:rsid w:val="002F1151"/>
    <w:rPr>
      <w:rFonts w:ascii="Times New Roman" w:eastAsia="Times New Roman" w:hAnsi="Times New Roman" w:cs="Times New Roman"/>
      <w:b/>
      <w:sz w:val="24"/>
      <w:szCs w:val="20"/>
      <w:lang w:eastAsia="pl-PL"/>
    </w:rPr>
  </w:style>
  <w:style w:type="character" w:customStyle="1" w:styleId="Nagwek6Znak">
    <w:name w:val="Nagłówek 6 Znak"/>
    <w:basedOn w:val="Domylnaczcionkaakapitu"/>
    <w:link w:val="Nagwek6"/>
    <w:semiHidden/>
    <w:rsid w:val="002F1151"/>
    <w:rPr>
      <w:rFonts w:ascii="Times New Roman" w:eastAsia="Times New Roman" w:hAnsi="Times New Roman" w:cs="Times New Roman"/>
      <w:sz w:val="28"/>
      <w:szCs w:val="20"/>
      <w:lang w:eastAsia="pl-PL"/>
    </w:rPr>
  </w:style>
  <w:style w:type="character" w:customStyle="1" w:styleId="Nagwek7Znak">
    <w:name w:val="Nagłówek 7 Znak"/>
    <w:basedOn w:val="Domylnaczcionkaakapitu"/>
    <w:link w:val="Nagwek7"/>
    <w:uiPriority w:val="99"/>
    <w:semiHidden/>
    <w:rsid w:val="002F1151"/>
    <w:rPr>
      <w:rFonts w:ascii="Times New Roman" w:eastAsia="Times New Roman" w:hAnsi="Times New Roman" w:cs="Times New Roman"/>
      <w:b/>
      <w:sz w:val="32"/>
      <w:szCs w:val="20"/>
      <w:lang w:eastAsia="pl-PL"/>
    </w:rPr>
  </w:style>
  <w:style w:type="character" w:customStyle="1" w:styleId="Nagwek8Znak">
    <w:name w:val="Nagłówek 8 Znak"/>
    <w:basedOn w:val="Domylnaczcionkaakapitu"/>
    <w:link w:val="Nagwek8"/>
    <w:uiPriority w:val="99"/>
    <w:semiHidden/>
    <w:rsid w:val="002F1151"/>
    <w:rPr>
      <w:rFonts w:ascii="Times New Roman" w:eastAsia="Times New Roman" w:hAnsi="Times New Roman" w:cs="Times New Roman"/>
      <w:sz w:val="28"/>
      <w:szCs w:val="20"/>
      <w:lang w:eastAsia="pl-PL"/>
    </w:rPr>
  </w:style>
  <w:style w:type="character" w:customStyle="1" w:styleId="Nagwek9Znak">
    <w:name w:val="Nagłówek 9 Znak"/>
    <w:basedOn w:val="Domylnaczcionkaakapitu"/>
    <w:link w:val="Nagwek9"/>
    <w:uiPriority w:val="99"/>
    <w:semiHidden/>
    <w:rsid w:val="002F1151"/>
    <w:rPr>
      <w:rFonts w:ascii="Arial Narrow" w:eastAsia="Times New Roman" w:hAnsi="Arial Narrow" w:cs="Times New Roman"/>
      <w:b/>
      <w:sz w:val="24"/>
      <w:szCs w:val="20"/>
      <w:lang w:eastAsia="pl-PL"/>
    </w:rPr>
  </w:style>
  <w:style w:type="paragraph" w:styleId="NormalnyWeb">
    <w:name w:val="Normal (Web)"/>
    <w:basedOn w:val="Normalny"/>
    <w:uiPriority w:val="99"/>
    <w:semiHidden/>
    <w:unhideWhenUsed/>
    <w:rsid w:val="002F1151"/>
    <w:pPr>
      <w:spacing w:before="100" w:beforeAutospacing="1" w:after="100" w:afterAutospacing="1"/>
    </w:pPr>
    <w:rPr>
      <w:sz w:val="24"/>
      <w:szCs w:val="24"/>
    </w:rPr>
  </w:style>
  <w:style w:type="paragraph" w:styleId="Tekstkomentarza">
    <w:name w:val="annotation text"/>
    <w:basedOn w:val="Normalny"/>
    <w:link w:val="TekstkomentarzaZnak"/>
    <w:uiPriority w:val="99"/>
    <w:semiHidden/>
    <w:unhideWhenUsed/>
    <w:rsid w:val="002F1151"/>
  </w:style>
  <w:style w:type="character" w:customStyle="1" w:styleId="TekstkomentarzaZnak">
    <w:name w:val="Tekst komentarza Znak"/>
    <w:basedOn w:val="Domylnaczcionkaakapitu"/>
    <w:link w:val="Tekstkomentarza"/>
    <w:uiPriority w:val="99"/>
    <w:semiHidden/>
    <w:rsid w:val="002F1151"/>
    <w:rPr>
      <w:rFonts w:ascii="Times New Roman" w:eastAsia="Times New Roman" w:hAnsi="Times New Roman" w:cs="Times New Roman"/>
      <w:sz w:val="20"/>
      <w:szCs w:val="20"/>
      <w:lang w:eastAsia="pl-PL"/>
    </w:rPr>
  </w:style>
  <w:style w:type="paragraph" w:styleId="Nagwek">
    <w:name w:val="header"/>
    <w:basedOn w:val="Normalny"/>
    <w:link w:val="NagwekZnak"/>
    <w:uiPriority w:val="99"/>
    <w:semiHidden/>
    <w:unhideWhenUsed/>
    <w:rsid w:val="002F1151"/>
    <w:pPr>
      <w:tabs>
        <w:tab w:val="center" w:pos="4536"/>
        <w:tab w:val="right" w:pos="9072"/>
      </w:tabs>
    </w:pPr>
  </w:style>
  <w:style w:type="character" w:customStyle="1" w:styleId="NagwekZnak">
    <w:name w:val="Nagłówek Znak"/>
    <w:basedOn w:val="Domylnaczcionkaakapitu"/>
    <w:link w:val="Nagwek"/>
    <w:uiPriority w:val="99"/>
    <w:semiHidden/>
    <w:rsid w:val="002F1151"/>
    <w:rPr>
      <w:rFonts w:ascii="Times New Roman" w:eastAsia="Times New Roman" w:hAnsi="Times New Roman" w:cs="Times New Roman"/>
      <w:sz w:val="20"/>
      <w:szCs w:val="20"/>
      <w:lang w:eastAsia="pl-PL"/>
    </w:rPr>
  </w:style>
  <w:style w:type="paragraph" w:styleId="Stopka">
    <w:name w:val="footer"/>
    <w:basedOn w:val="Normalny"/>
    <w:link w:val="StopkaZnak"/>
    <w:uiPriority w:val="99"/>
    <w:unhideWhenUsed/>
    <w:rsid w:val="002F1151"/>
    <w:pPr>
      <w:tabs>
        <w:tab w:val="center" w:pos="4536"/>
        <w:tab w:val="right" w:pos="9072"/>
      </w:tabs>
    </w:pPr>
  </w:style>
  <w:style w:type="character" w:customStyle="1" w:styleId="StopkaZnak">
    <w:name w:val="Stopka Znak"/>
    <w:basedOn w:val="Domylnaczcionkaakapitu"/>
    <w:link w:val="Stopka"/>
    <w:uiPriority w:val="99"/>
    <w:rsid w:val="002F1151"/>
    <w:rPr>
      <w:rFonts w:ascii="Times New Roman" w:eastAsia="Times New Roman" w:hAnsi="Times New Roman" w:cs="Times New Roman"/>
      <w:sz w:val="20"/>
      <w:szCs w:val="20"/>
      <w:lang w:eastAsia="pl-PL"/>
    </w:rPr>
  </w:style>
  <w:style w:type="paragraph" w:styleId="Tytu">
    <w:name w:val="Title"/>
    <w:basedOn w:val="Normalny"/>
    <w:link w:val="TytuZnak"/>
    <w:uiPriority w:val="99"/>
    <w:qFormat/>
    <w:rsid w:val="002F1151"/>
    <w:pPr>
      <w:jc w:val="center"/>
    </w:pPr>
    <w:rPr>
      <w:rFonts w:ascii="Tahoma" w:hAnsi="Tahoma"/>
      <w:b/>
      <w:sz w:val="44"/>
    </w:rPr>
  </w:style>
  <w:style w:type="character" w:customStyle="1" w:styleId="TytuZnak">
    <w:name w:val="Tytuł Znak"/>
    <w:basedOn w:val="Domylnaczcionkaakapitu"/>
    <w:link w:val="Tytu"/>
    <w:uiPriority w:val="99"/>
    <w:rsid w:val="002F1151"/>
    <w:rPr>
      <w:rFonts w:ascii="Tahoma" w:eastAsia="Times New Roman" w:hAnsi="Tahoma" w:cs="Times New Roman"/>
      <w:b/>
      <w:sz w:val="44"/>
      <w:szCs w:val="20"/>
      <w:lang w:eastAsia="pl-PL"/>
    </w:rPr>
  </w:style>
  <w:style w:type="paragraph" w:styleId="Tekstpodstawowy">
    <w:name w:val="Body Text"/>
    <w:basedOn w:val="Normalny"/>
    <w:link w:val="TekstpodstawowyZnak"/>
    <w:uiPriority w:val="99"/>
    <w:semiHidden/>
    <w:unhideWhenUsed/>
    <w:rsid w:val="002F1151"/>
    <w:pPr>
      <w:jc w:val="both"/>
    </w:pPr>
    <w:rPr>
      <w:sz w:val="28"/>
    </w:rPr>
  </w:style>
  <w:style w:type="character" w:customStyle="1" w:styleId="TekstpodstawowyZnak">
    <w:name w:val="Tekst podstawowy Znak"/>
    <w:basedOn w:val="Domylnaczcionkaakapitu"/>
    <w:link w:val="Tekstpodstawowy"/>
    <w:uiPriority w:val="99"/>
    <w:semiHidden/>
    <w:rsid w:val="002F1151"/>
    <w:rPr>
      <w:rFonts w:ascii="Times New Roman" w:eastAsia="Times New Roman" w:hAnsi="Times New Roman" w:cs="Times New Roman"/>
      <w:sz w:val="28"/>
      <w:szCs w:val="20"/>
      <w:lang w:eastAsia="pl-PL"/>
    </w:rPr>
  </w:style>
  <w:style w:type="paragraph" w:styleId="Tekstpodstawowywcity">
    <w:name w:val="Body Text Indent"/>
    <w:basedOn w:val="Normalny"/>
    <w:link w:val="TekstpodstawowywcityZnak"/>
    <w:uiPriority w:val="99"/>
    <w:semiHidden/>
    <w:unhideWhenUsed/>
    <w:rsid w:val="002F1151"/>
    <w:pPr>
      <w:ind w:firstLine="708"/>
      <w:jc w:val="both"/>
    </w:pPr>
    <w:rPr>
      <w:sz w:val="28"/>
    </w:rPr>
  </w:style>
  <w:style w:type="character" w:customStyle="1" w:styleId="TekstpodstawowywcityZnak">
    <w:name w:val="Tekst podstawowy wcięty Znak"/>
    <w:basedOn w:val="Domylnaczcionkaakapitu"/>
    <w:link w:val="Tekstpodstawowywcity"/>
    <w:uiPriority w:val="99"/>
    <w:semiHidden/>
    <w:rsid w:val="002F1151"/>
    <w:rPr>
      <w:rFonts w:ascii="Times New Roman" w:eastAsia="Times New Roman" w:hAnsi="Times New Roman" w:cs="Times New Roman"/>
      <w:sz w:val="28"/>
      <w:szCs w:val="20"/>
      <w:lang w:eastAsia="pl-PL"/>
    </w:rPr>
  </w:style>
  <w:style w:type="paragraph" w:styleId="Tekstpodstawowy2">
    <w:name w:val="Body Text 2"/>
    <w:basedOn w:val="Normalny"/>
    <w:link w:val="Tekstpodstawowy2Znak"/>
    <w:uiPriority w:val="99"/>
    <w:semiHidden/>
    <w:unhideWhenUsed/>
    <w:rsid w:val="002F1151"/>
    <w:rPr>
      <w:sz w:val="28"/>
    </w:rPr>
  </w:style>
  <w:style w:type="character" w:customStyle="1" w:styleId="Tekstpodstawowy2Znak">
    <w:name w:val="Tekst podstawowy 2 Znak"/>
    <w:basedOn w:val="Domylnaczcionkaakapitu"/>
    <w:link w:val="Tekstpodstawowy2"/>
    <w:uiPriority w:val="99"/>
    <w:semiHidden/>
    <w:rsid w:val="002F1151"/>
    <w:rPr>
      <w:rFonts w:ascii="Times New Roman" w:eastAsia="Times New Roman" w:hAnsi="Times New Roman" w:cs="Times New Roman"/>
      <w:sz w:val="28"/>
      <w:szCs w:val="20"/>
      <w:lang w:eastAsia="pl-PL"/>
    </w:rPr>
  </w:style>
  <w:style w:type="paragraph" w:styleId="Tekstpodstawowy3">
    <w:name w:val="Body Text 3"/>
    <w:basedOn w:val="Normalny"/>
    <w:link w:val="Tekstpodstawowy3Znak"/>
    <w:uiPriority w:val="99"/>
    <w:semiHidden/>
    <w:unhideWhenUsed/>
    <w:rsid w:val="002F1151"/>
    <w:pPr>
      <w:spacing w:line="360" w:lineRule="auto"/>
      <w:jc w:val="both"/>
    </w:pPr>
    <w:rPr>
      <w:b/>
      <w:sz w:val="22"/>
    </w:rPr>
  </w:style>
  <w:style w:type="character" w:customStyle="1" w:styleId="Tekstpodstawowy3Znak">
    <w:name w:val="Tekst podstawowy 3 Znak"/>
    <w:basedOn w:val="Domylnaczcionkaakapitu"/>
    <w:link w:val="Tekstpodstawowy3"/>
    <w:uiPriority w:val="99"/>
    <w:semiHidden/>
    <w:rsid w:val="002F1151"/>
    <w:rPr>
      <w:rFonts w:ascii="Times New Roman" w:eastAsia="Times New Roman" w:hAnsi="Times New Roman" w:cs="Times New Roman"/>
      <w:b/>
      <w:szCs w:val="20"/>
      <w:lang w:eastAsia="pl-PL"/>
    </w:rPr>
  </w:style>
  <w:style w:type="paragraph" w:styleId="Tekstpodstawowywcity2">
    <w:name w:val="Body Text Indent 2"/>
    <w:basedOn w:val="Normalny"/>
    <w:link w:val="Tekstpodstawowywcity2Znak"/>
    <w:uiPriority w:val="99"/>
    <w:semiHidden/>
    <w:unhideWhenUsed/>
    <w:rsid w:val="002F1151"/>
    <w:pPr>
      <w:ind w:left="1985" w:hanging="1134"/>
      <w:jc w:val="both"/>
    </w:pPr>
    <w:rPr>
      <w:sz w:val="24"/>
    </w:rPr>
  </w:style>
  <w:style w:type="character" w:customStyle="1" w:styleId="Tekstpodstawowywcity2Znak">
    <w:name w:val="Tekst podstawowy wcięty 2 Znak"/>
    <w:basedOn w:val="Domylnaczcionkaakapitu"/>
    <w:link w:val="Tekstpodstawowywcity2"/>
    <w:uiPriority w:val="99"/>
    <w:semiHidden/>
    <w:rsid w:val="002F1151"/>
    <w:rPr>
      <w:rFonts w:ascii="Times New Roman" w:eastAsia="Times New Roman" w:hAnsi="Times New Roman" w:cs="Times New Roman"/>
      <w:sz w:val="24"/>
      <w:szCs w:val="20"/>
      <w:lang w:eastAsia="pl-PL"/>
    </w:rPr>
  </w:style>
  <w:style w:type="paragraph" w:styleId="Tekstpodstawowywcity3">
    <w:name w:val="Body Text Indent 3"/>
    <w:basedOn w:val="Normalny"/>
    <w:link w:val="Tekstpodstawowywcity3Znak"/>
    <w:uiPriority w:val="99"/>
    <w:semiHidden/>
    <w:unhideWhenUsed/>
    <w:rsid w:val="002F1151"/>
    <w:pPr>
      <w:ind w:left="4820"/>
    </w:pPr>
    <w:rPr>
      <w:b/>
      <w:bCs/>
      <w:sz w:val="28"/>
    </w:rPr>
  </w:style>
  <w:style w:type="character" w:customStyle="1" w:styleId="Tekstpodstawowywcity3Znak">
    <w:name w:val="Tekst podstawowy wcięty 3 Znak"/>
    <w:basedOn w:val="Domylnaczcionkaakapitu"/>
    <w:link w:val="Tekstpodstawowywcity3"/>
    <w:uiPriority w:val="99"/>
    <w:semiHidden/>
    <w:rsid w:val="002F1151"/>
    <w:rPr>
      <w:rFonts w:ascii="Times New Roman" w:eastAsia="Times New Roman" w:hAnsi="Times New Roman" w:cs="Times New Roman"/>
      <w:b/>
      <w:bCs/>
      <w:sz w:val="28"/>
      <w:szCs w:val="20"/>
      <w:lang w:eastAsia="pl-PL"/>
    </w:rPr>
  </w:style>
  <w:style w:type="paragraph" w:styleId="Mapadokumentu">
    <w:name w:val="Document Map"/>
    <w:basedOn w:val="Normalny"/>
    <w:link w:val="MapadokumentuZnak"/>
    <w:uiPriority w:val="99"/>
    <w:semiHidden/>
    <w:unhideWhenUsed/>
    <w:rsid w:val="002F1151"/>
    <w:pPr>
      <w:shd w:val="clear" w:color="auto" w:fill="000080"/>
    </w:pPr>
    <w:rPr>
      <w:rFonts w:ascii="Tahoma" w:hAnsi="Tahoma"/>
    </w:rPr>
  </w:style>
  <w:style w:type="character" w:customStyle="1" w:styleId="MapadokumentuZnak">
    <w:name w:val="Mapa dokumentu Znak"/>
    <w:basedOn w:val="Domylnaczcionkaakapitu"/>
    <w:link w:val="Mapadokumentu"/>
    <w:uiPriority w:val="99"/>
    <w:semiHidden/>
    <w:rsid w:val="002F1151"/>
    <w:rPr>
      <w:rFonts w:ascii="Tahoma" w:eastAsia="Times New Roman" w:hAnsi="Tahoma" w:cs="Times New Roman"/>
      <w:sz w:val="20"/>
      <w:szCs w:val="20"/>
      <w:shd w:val="clear" w:color="auto" w:fill="000080"/>
      <w:lang w:eastAsia="pl-PL"/>
    </w:rPr>
  </w:style>
  <w:style w:type="paragraph" w:styleId="Tematkomentarza">
    <w:name w:val="annotation subject"/>
    <w:basedOn w:val="Tekstkomentarza"/>
    <w:next w:val="Tekstkomentarza"/>
    <w:link w:val="TematkomentarzaZnak"/>
    <w:uiPriority w:val="99"/>
    <w:semiHidden/>
    <w:unhideWhenUsed/>
    <w:rsid w:val="002F1151"/>
    <w:rPr>
      <w:b/>
      <w:bCs/>
    </w:rPr>
  </w:style>
  <w:style w:type="character" w:customStyle="1" w:styleId="TematkomentarzaZnak">
    <w:name w:val="Temat komentarza Znak"/>
    <w:basedOn w:val="TekstkomentarzaZnak"/>
    <w:link w:val="Tematkomentarza"/>
    <w:uiPriority w:val="99"/>
    <w:semiHidden/>
    <w:rsid w:val="002F1151"/>
    <w:rPr>
      <w:rFonts w:ascii="Times New Roman" w:eastAsia="Times New Roman" w:hAnsi="Times New Roman" w:cs="Times New Roman"/>
      <w:b/>
      <w:bCs/>
      <w:sz w:val="20"/>
      <w:szCs w:val="20"/>
      <w:lang w:eastAsia="pl-PL"/>
    </w:rPr>
  </w:style>
  <w:style w:type="paragraph" w:styleId="Tekstdymka">
    <w:name w:val="Balloon Text"/>
    <w:basedOn w:val="Normalny"/>
    <w:link w:val="TekstdymkaZnak"/>
    <w:uiPriority w:val="99"/>
    <w:semiHidden/>
    <w:unhideWhenUsed/>
    <w:rsid w:val="002F1151"/>
    <w:rPr>
      <w:rFonts w:ascii="Tahoma" w:hAnsi="Tahoma" w:cs="Tahoma"/>
      <w:sz w:val="16"/>
      <w:szCs w:val="16"/>
    </w:rPr>
  </w:style>
  <w:style w:type="character" w:customStyle="1" w:styleId="TekstdymkaZnak">
    <w:name w:val="Tekst dymka Znak"/>
    <w:basedOn w:val="Domylnaczcionkaakapitu"/>
    <w:link w:val="Tekstdymka"/>
    <w:uiPriority w:val="99"/>
    <w:semiHidden/>
    <w:rsid w:val="002F1151"/>
    <w:rPr>
      <w:rFonts w:ascii="Tahoma" w:eastAsia="Times New Roman" w:hAnsi="Tahoma" w:cs="Tahoma"/>
      <w:sz w:val="16"/>
      <w:szCs w:val="16"/>
      <w:lang w:eastAsia="pl-PL"/>
    </w:rPr>
  </w:style>
  <w:style w:type="paragraph" w:styleId="Akapitzlist">
    <w:name w:val="List Paragraph"/>
    <w:basedOn w:val="Normalny"/>
    <w:uiPriority w:val="34"/>
    <w:qFormat/>
    <w:rsid w:val="002F1151"/>
    <w:pPr>
      <w:ind w:left="708"/>
    </w:pPr>
  </w:style>
  <w:style w:type="character" w:styleId="Odwoaniedokomentarza">
    <w:name w:val="annotation reference"/>
    <w:basedOn w:val="Domylnaczcionkaakapitu"/>
    <w:semiHidden/>
    <w:unhideWhenUsed/>
    <w:rsid w:val="002F1151"/>
    <w:rPr>
      <w:sz w:val="16"/>
      <w:szCs w:val="16"/>
    </w:rPr>
  </w:style>
  <w:style w:type="table" w:styleId="Tabela-Siatka">
    <w:name w:val="Table Grid"/>
    <w:basedOn w:val="Standardowy"/>
    <w:rsid w:val="002F11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przypisudolnego">
    <w:name w:val="footnote text"/>
    <w:basedOn w:val="Normalny"/>
    <w:link w:val="TekstprzypisudolnegoZnak"/>
    <w:uiPriority w:val="99"/>
    <w:semiHidden/>
    <w:unhideWhenUsed/>
    <w:rsid w:val="004B737D"/>
  </w:style>
  <w:style w:type="character" w:customStyle="1" w:styleId="TekstprzypisudolnegoZnak">
    <w:name w:val="Tekst przypisu dolnego Znak"/>
    <w:basedOn w:val="Domylnaczcionkaakapitu"/>
    <w:link w:val="Tekstprzypisudolnego"/>
    <w:uiPriority w:val="99"/>
    <w:semiHidden/>
    <w:rsid w:val="004B737D"/>
    <w:rPr>
      <w:rFonts w:ascii="Times New Roman" w:eastAsia="Times New Roman" w:hAnsi="Times New Roman" w:cs="Times New Roman"/>
      <w:sz w:val="20"/>
      <w:szCs w:val="20"/>
      <w:lang w:eastAsia="pl-PL"/>
    </w:rPr>
  </w:style>
  <w:style w:type="character" w:styleId="Odwoanieprzypisudolnego">
    <w:name w:val="footnote reference"/>
    <w:basedOn w:val="Domylnaczcionkaakapitu"/>
    <w:uiPriority w:val="99"/>
    <w:semiHidden/>
    <w:unhideWhenUsed/>
    <w:rsid w:val="004B737D"/>
    <w:rPr>
      <w:vertAlign w:val="superscript"/>
    </w:rPr>
  </w:style>
  <w:style w:type="paragraph" w:styleId="Tekstprzypisukocowego">
    <w:name w:val="endnote text"/>
    <w:basedOn w:val="Normalny"/>
    <w:link w:val="TekstprzypisukocowegoZnak"/>
    <w:uiPriority w:val="99"/>
    <w:semiHidden/>
    <w:unhideWhenUsed/>
    <w:rsid w:val="004E232B"/>
  </w:style>
  <w:style w:type="character" w:customStyle="1" w:styleId="TekstprzypisukocowegoZnak">
    <w:name w:val="Tekst przypisu końcowego Znak"/>
    <w:basedOn w:val="Domylnaczcionkaakapitu"/>
    <w:link w:val="Tekstprzypisukocowego"/>
    <w:uiPriority w:val="99"/>
    <w:semiHidden/>
    <w:rsid w:val="004E232B"/>
    <w:rPr>
      <w:rFonts w:ascii="Times New Roman" w:eastAsia="Times New Roman" w:hAnsi="Times New Roman" w:cs="Times New Roman"/>
      <w:sz w:val="20"/>
      <w:szCs w:val="20"/>
      <w:lang w:eastAsia="pl-PL"/>
    </w:rPr>
  </w:style>
  <w:style w:type="character" w:styleId="Odwoanieprzypisukocowego">
    <w:name w:val="endnote reference"/>
    <w:basedOn w:val="Domylnaczcionkaakapitu"/>
    <w:uiPriority w:val="99"/>
    <w:semiHidden/>
    <w:unhideWhenUsed/>
    <w:rsid w:val="004E232B"/>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354959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image" Target="media/image3.png"/><Relationship Id="rId18" Type="http://schemas.openxmlformats.org/officeDocument/2006/relationships/chart" Target="charts/chart6.xml"/><Relationship Id="rId26" Type="http://schemas.openxmlformats.org/officeDocument/2006/relationships/chart" Target="charts/chart14.xml"/><Relationship Id="rId3" Type="http://schemas.microsoft.com/office/2007/relationships/stylesWithEffects" Target="stylesWithEffects.xml"/><Relationship Id="rId21" Type="http://schemas.openxmlformats.org/officeDocument/2006/relationships/chart" Target="charts/chart9.xm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chart" Target="charts/chart1.xml"/><Relationship Id="rId17" Type="http://schemas.openxmlformats.org/officeDocument/2006/relationships/chart" Target="charts/chart5.xml"/><Relationship Id="rId25" Type="http://schemas.openxmlformats.org/officeDocument/2006/relationships/chart" Target="charts/chart13.xml"/><Relationship Id="rId33" Type="http://schemas.openxmlformats.org/officeDocument/2006/relationships/footer" Target="footer1.xml"/><Relationship Id="rId2" Type="http://schemas.openxmlformats.org/officeDocument/2006/relationships/styles" Target="styles.xml"/><Relationship Id="rId16" Type="http://schemas.openxmlformats.org/officeDocument/2006/relationships/chart" Target="charts/chart4.xml"/><Relationship Id="rId20" Type="http://schemas.openxmlformats.org/officeDocument/2006/relationships/chart" Target="charts/chart8.xml"/><Relationship Id="rId29" Type="http://schemas.openxmlformats.org/officeDocument/2006/relationships/image" Target="media/image4.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chart" Target="charts/chart12.xml"/><Relationship Id="rId32" Type="http://schemas.openxmlformats.org/officeDocument/2006/relationships/chart" Target="charts/chart19.xml"/><Relationship Id="rId5" Type="http://schemas.openxmlformats.org/officeDocument/2006/relationships/webSettings" Target="webSettings.xml"/><Relationship Id="rId15" Type="http://schemas.openxmlformats.org/officeDocument/2006/relationships/chart" Target="charts/chart3.xml"/><Relationship Id="rId23" Type="http://schemas.openxmlformats.org/officeDocument/2006/relationships/chart" Target="charts/chart11.xml"/><Relationship Id="rId28" Type="http://schemas.openxmlformats.org/officeDocument/2006/relationships/chart" Target="charts/chart16.xml"/><Relationship Id="rId10" Type="http://schemas.openxmlformats.org/officeDocument/2006/relationships/image" Target="media/image2.wmf"/><Relationship Id="rId19" Type="http://schemas.openxmlformats.org/officeDocument/2006/relationships/chart" Target="charts/chart7.xml"/><Relationship Id="rId31" Type="http://schemas.openxmlformats.org/officeDocument/2006/relationships/chart" Target="charts/chart18.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chart" Target="charts/chart2.xml"/><Relationship Id="rId22" Type="http://schemas.openxmlformats.org/officeDocument/2006/relationships/chart" Target="charts/chart10.xml"/><Relationship Id="rId27" Type="http://schemas.openxmlformats.org/officeDocument/2006/relationships/chart" Target="charts/chart15.xml"/><Relationship Id="rId30" Type="http://schemas.openxmlformats.org/officeDocument/2006/relationships/chart" Target="charts/chart17.xml"/><Relationship Id="rId35" Type="http://schemas.openxmlformats.org/officeDocument/2006/relationships/theme" Target="theme/theme1.xml"/></Relationships>
</file>

<file path=word/charts/_rels/chart1.xml.rels><?xml version="1.0" encoding="UTF-8" standalone="yes"?>
<Relationships xmlns="http://schemas.openxmlformats.org/package/2006/relationships"><Relationship Id="rId2" Type="http://schemas.openxmlformats.org/officeDocument/2006/relationships/oleObject" Target="file:///C:\Users\ksoltys\Documents\Dolumenty-Praca\Wydzia&#322;_Polityki_Regionalnej\STATYSTYKA%20%20RYNKU%20%20PRACY%20%202008-2013\Naplywy_mies_od_1999r.xlsx"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file:///C:\Users\ksoltys\Documents\Dolumenty-Praca\Wydzia&#322;_Polityki_Regionalnej\Informacje_miesi&#281;czne_2013\12-2013\Tabele_do_tekstu_12-2013.xlsx"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file:///C:\Users\ksoltys\Documents\Dolumenty-Praca\Wydzia&#322;_Polityki_Regionalnej\Informacje_miesi&#281;czne_2013\12-2013\Tabele_do_tekstu_12-2013.xlsx"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file:///C:\Users\ksoltys\Documents\Dolumenty-Praca\Wydzia&#322;_Polityki_Regionalnej\Informacje_miesi&#281;czne_2013\12-2013\Tabele_do_tekstu_12-2013.xlsx"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oleObject" Target="file:///C:\Users\ksoltys\Documents\Dolumenty-Praca\Wydzia&#322;_Polityki_Regionalnej\Informacje_miesi&#281;czne_2013\12-2013\Tabele_do_tekstu_12-2013.xlsx" TargetMode="External"/><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oleObject" Target="file:///C:\Users\ksoltys\Documents\Dolumenty-Praca\Wydzia&#322;_Polityki_Regionalnej\Informacje_miesi&#281;czne_2013\12-2013\Tabele_do_tekstu_12-2013.xlsx" TargetMode="External"/><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oleObject" Target="file:///C:\Users\ksoltys\Documents\Dolumenty-Praca\Wydzia&#322;_Polityki_Regionalnej\Informacje_miesi&#281;czne_2013\12-2013\Tabele_do_tekstu_12-2013.xlsx" TargetMode="External"/><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oleObject" Target="file:///C:\Users\ksoltys\Documents\Dolumenty-Praca\Wydzia&#322;_Polityki_Regionalnej\Informacje_miesi&#281;czne_2013\12-2013\Tabele_do_tekstu_12-2013.xlsx" TargetMode="External"/><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oleObject" Target="file:///C:\Users\ksoltys\Documents\Dolumenty-Praca\Wydzia&#322;_Polityki_Regionalnej\Informacje_miesi&#281;czne_2013\12-2013\Tabele_do_tekstu_12-2013.xlsx" TargetMode="External"/><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2" Type="http://schemas.openxmlformats.org/officeDocument/2006/relationships/oleObject" Target="file:///C:\Users\ksoltys\Documents\Dolumenty-Praca\Wydzia&#322;_Polityki_Regionalnej\Informacje_miesi&#281;czne_2013\12-2013\Tabele_do_tekstu_12-2013.xlsx" TargetMode="External"/><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2" Type="http://schemas.openxmlformats.org/officeDocument/2006/relationships/oleObject" Target="file:///C:\Users\ksoltys\Documents\Dolumenty-Praca\Wydzia&#322;_Polityki_Regionalnej\Informacje_miesi&#281;czne_2013\12-2013\Tabele_do_tekstu_12-2013.xlsx" TargetMode="External"/><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2" Type="http://schemas.openxmlformats.org/officeDocument/2006/relationships/oleObject" Target="file:///C:\Users\ksoltys\Documents\Dolumenty-Praca\Wydzia&#322;_Polityki_Regionalnej\STATYSTYKA%20%20RYNKU%20%20PRACY%20%202008-2013\Tabele%20-%202013%20rok.xlsx" TargetMode="External"/><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oleObject" Target="file:///C:\Users\ksoltys\Documents\Dolumenty-Praca\Wydzia&#322;_Polityki_Regionalnej\Informacje_miesi&#281;czne_2013\12-2013\Tabele_do_tekstu_12-2013.xlsx" TargetMode="External"/><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2" Type="http://schemas.openxmlformats.org/officeDocument/2006/relationships/oleObject" Target="file:///C:\Users\ksoltys\Documents\Dolumenty-Praca\Wydzia&#322;_Polityki_Regionalnej\Informacje_miesi&#281;czne_2013\12-2013\Tabele_do_tekstu_12-2013.xlsx" TargetMode="External"/><Relationship Id="rId1" Type="http://schemas.openxmlformats.org/officeDocument/2006/relationships/themeOverride" Target="../theme/themeOverride14.xml"/></Relationships>
</file>

<file path=word/charts/_rels/chart15.xml.rels><?xml version="1.0" encoding="UTF-8" standalone="yes"?>
<Relationships xmlns="http://schemas.openxmlformats.org/package/2006/relationships"><Relationship Id="rId2" Type="http://schemas.openxmlformats.org/officeDocument/2006/relationships/oleObject" Target="file:///C:\Users\ksoltys\Documents\Dolumenty-Praca\Wydzia&#322;_Polityki_Regionalnej\Informacje_miesi&#281;czne_2013\12-2013\Tabele_do_tekstu_12-2013.xlsx" TargetMode="External"/><Relationship Id="rId1" Type="http://schemas.openxmlformats.org/officeDocument/2006/relationships/themeOverride" Target="../theme/themeOverride15.xml"/></Relationships>
</file>

<file path=word/charts/_rels/chart16.xml.rels><?xml version="1.0" encoding="UTF-8" standalone="yes"?>
<Relationships xmlns="http://schemas.openxmlformats.org/package/2006/relationships"><Relationship Id="rId2" Type="http://schemas.openxmlformats.org/officeDocument/2006/relationships/oleObject" Target="file:///C:\Users\ksoltys\Documents\Dolumenty-Praca\Wydzia&#322;_Polityki_Regionalnej\STOPA%20%20BEZROBOCIA\STOP-DLN-2001-2013_z_Korekta.xls" TargetMode="External"/><Relationship Id="rId1" Type="http://schemas.openxmlformats.org/officeDocument/2006/relationships/themeOverride" Target="../theme/themeOverride16.xml"/></Relationships>
</file>

<file path=word/charts/_rels/chart17.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oleObject" Target="file:///C:\Users\ksoltys\Documents\Dolumenty-Praca\Wydzia&#322;_Polityki_Regionalnej\Informacje_miesi&#281;czne_2013\12-2013\Tabele_do_tekstu_12-2013.xlsx" TargetMode="External"/><Relationship Id="rId1" Type="http://schemas.openxmlformats.org/officeDocument/2006/relationships/themeOverride" Target="../theme/themeOverride17.xml"/></Relationships>
</file>

<file path=word/charts/_rels/chart18.xml.rels><?xml version="1.0" encoding="UTF-8" standalone="yes"?>
<Relationships xmlns="http://schemas.openxmlformats.org/package/2006/relationships"><Relationship Id="rId2" Type="http://schemas.openxmlformats.org/officeDocument/2006/relationships/oleObject" Target="file:///C:\Users\ksoltys\Documents\Dolumenty-Praca\Wydzia&#322;_Polityki_Regionalnej\Informacje_miesi&#281;czne_2013\12-2013\Tabele_do_tekstu_12-2013.xlsx" TargetMode="External"/><Relationship Id="rId1" Type="http://schemas.openxmlformats.org/officeDocument/2006/relationships/themeOverride" Target="../theme/themeOverride18.xml"/></Relationships>
</file>

<file path=word/charts/_rels/chart19.xml.rels><?xml version="1.0" encoding="UTF-8" standalone="yes"?>
<Relationships xmlns="http://schemas.openxmlformats.org/package/2006/relationships"><Relationship Id="rId2" Type="http://schemas.openxmlformats.org/officeDocument/2006/relationships/oleObject" Target="file:///C:\Users\ksoltys\Documents\Dolumenty-Praca\Wydzia&#322;_Polityki_Regionalnej\Informacje_miesi&#281;czne_2013\12-2013\Tabele_do_tekstu_12-2013.xlsx" TargetMode="External"/><Relationship Id="rId1" Type="http://schemas.openxmlformats.org/officeDocument/2006/relationships/themeOverride" Target="../theme/themeOverride19.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31"/>
    </mc:Choice>
    <mc:Fallback>
      <c:style val="31"/>
    </mc:Fallback>
  </mc:AlternateContent>
  <c:clrMapOvr bg1="lt1" tx1="dk1" bg2="lt2" tx2="dk2" accent1="accent1" accent2="accent2" accent3="accent3" accent4="accent4" accent5="accent5" accent6="accent6" hlink="hlink" folHlink="folHlink"/>
  <c:chart>
    <c:title>
      <c:tx>
        <c:rich>
          <a:bodyPr/>
          <a:lstStyle/>
          <a:p>
            <a:pPr>
              <a:defRPr sz="1200" b="1" i="0" u="none" strike="noStrike" baseline="0">
                <a:solidFill>
                  <a:srgbClr val="000000"/>
                </a:solidFill>
                <a:latin typeface="Calibri"/>
                <a:ea typeface="Calibri"/>
                <a:cs typeface="Calibri"/>
              </a:defRPr>
            </a:pPr>
            <a:r>
              <a:rPr lang="pl-PL"/>
              <a:t>Wzrost, spadek [-] liczby bezrobotnych w województwie dolnośląskim </a:t>
            </a:r>
          </a:p>
          <a:p>
            <a:pPr>
              <a:defRPr sz="1200" b="1" i="0" u="none" strike="noStrike" baseline="0">
                <a:solidFill>
                  <a:srgbClr val="000000"/>
                </a:solidFill>
                <a:latin typeface="Calibri"/>
                <a:ea typeface="Calibri"/>
                <a:cs typeface="Calibri"/>
              </a:defRPr>
            </a:pPr>
            <a:r>
              <a:rPr lang="pl-PL"/>
              <a:t>w okresie I - XII w latach 1999 – 2013</a:t>
            </a:r>
          </a:p>
        </c:rich>
      </c:tx>
      <c:layout>
        <c:manualLayout>
          <c:xMode val="edge"/>
          <c:yMode val="edge"/>
          <c:x val="0.14225205153398021"/>
          <c:y val="1.8518559305960965E-2"/>
        </c:manualLayout>
      </c:layout>
      <c:overlay val="0"/>
      <c:spPr>
        <a:noFill/>
        <a:ln w="25400">
          <a:noFill/>
        </a:ln>
      </c:spPr>
    </c:title>
    <c:autoTitleDeleted val="0"/>
    <c:plotArea>
      <c:layout/>
      <c:barChart>
        <c:barDir val="col"/>
        <c:grouping val="clustered"/>
        <c:varyColors val="0"/>
        <c:ser>
          <c:idx val="0"/>
          <c:order val="0"/>
          <c:spPr>
            <a:ln>
              <a:solidFill>
                <a:schemeClr val="tx1"/>
              </a:solidFill>
            </a:ln>
          </c:spPr>
          <c:invertIfNegative val="0"/>
          <c:dLbls>
            <c:dLbl>
              <c:idx val="3"/>
              <c:layout>
                <c:manualLayout>
                  <c:x val="-2.0342284800646959E-5"/>
                  <c:y val="-1.4579744696092099E-2"/>
                </c:manualLayout>
              </c:layout>
              <c:dLblPos val="outEnd"/>
              <c:showLegendKey val="0"/>
              <c:showVal val="1"/>
              <c:showCatName val="0"/>
              <c:showSerName val="0"/>
              <c:showPercent val="0"/>
              <c:showBubbleSize val="0"/>
              <c:extLst>
                <c:ext xmlns:c15="http://schemas.microsoft.com/office/drawing/2012/chart" uri="{CE6537A1-D6FC-4f65-9D91-7224C49458BB}"/>
              </c:extLst>
            </c:dLbl>
            <c:dLbl>
              <c:idx val="4"/>
              <c:layout>
                <c:manualLayout>
                  <c:x val="4.2670528252933904E-3"/>
                  <c:y val="-8.3117643627880225E-2"/>
                </c:manualLayout>
              </c:layout>
              <c:dLblPos val="outEnd"/>
              <c:showLegendKey val="0"/>
              <c:showVal val="1"/>
              <c:showCatName val="0"/>
              <c:showSerName val="0"/>
              <c:showPercent val="0"/>
              <c:showBubbleSize val="0"/>
              <c:extLst>
                <c:ext xmlns:c15="http://schemas.microsoft.com/office/drawing/2012/chart" uri="{CE6537A1-D6FC-4f65-9D91-7224C49458BB}"/>
              </c:extLst>
            </c:dLbl>
            <c:dLbl>
              <c:idx val="12"/>
              <c:layout>
                <c:manualLayout>
                  <c:x val="2.189409979288617E-3"/>
                  <c:y val="2.7741986797105039E-3"/>
                </c:manualLayout>
              </c:layout>
              <c:dLblPos val="outEnd"/>
              <c:showLegendKey val="0"/>
              <c:showVal val="1"/>
              <c:showCatName val="0"/>
              <c:showSerName val="0"/>
              <c:showPercent val="0"/>
              <c:showBubbleSize val="0"/>
              <c:extLst>
                <c:ext xmlns:c15="http://schemas.microsoft.com/office/drawing/2012/chart" uri="{CE6537A1-D6FC-4f65-9D91-7224C49458BB}"/>
              </c:extLst>
            </c:dLbl>
            <c:dLbl>
              <c:idx val="13"/>
              <c:layout>
                <c:manualLayout>
                  <c:x val="0"/>
                  <c:y val="-1.8648018648018766E-2"/>
                </c:manualLayout>
              </c:layout>
              <c:dLblPos val="outEnd"/>
              <c:showLegendKey val="0"/>
              <c:showVal val="1"/>
              <c:showCatName val="0"/>
              <c:showSerName val="0"/>
              <c:showPercent val="0"/>
              <c:showBubbleSize val="0"/>
              <c:extLst>
                <c:ext xmlns:c15="http://schemas.microsoft.com/office/drawing/2012/chart" uri="{CE6537A1-D6FC-4f65-9D91-7224C49458BB}"/>
              </c:extLst>
            </c:dLbl>
            <c:dLbl>
              <c:idx val="14"/>
              <c:layout>
                <c:manualLayout>
                  <c:x val="0"/>
                  <c:y val="-3.108003108003109E-2"/>
                </c:manualLayout>
              </c:layout>
              <c:dLblPos val="outEnd"/>
              <c:showLegendKey val="0"/>
              <c:showVal val="1"/>
              <c:showCatName val="0"/>
              <c:showSerName val="0"/>
              <c:showPercent val="0"/>
              <c:showBubbleSize val="0"/>
              <c:extLst>
                <c:ext xmlns:c15="http://schemas.microsoft.com/office/drawing/2012/chart" uri="{CE6537A1-D6FC-4f65-9D91-7224C49458BB}"/>
              </c:extLst>
            </c:dLbl>
            <c:spPr>
              <a:noFill/>
              <a:ln w="25400">
                <a:noFill/>
              </a:ln>
            </c:spPr>
            <c:txPr>
              <a:bodyPr/>
              <a:lstStyle/>
              <a:p>
                <a:pPr>
                  <a:defRPr b="1"/>
                </a:pPr>
                <a:endParaRPr lang="pl-PL"/>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Napływy!$B$22:$P$22</c:f>
              <c:strCache>
                <c:ptCount val="15"/>
                <c:pt idx="0">
                  <c:v>I - XII
1999</c:v>
                </c:pt>
                <c:pt idx="1">
                  <c:v>I - XII
2000</c:v>
                </c:pt>
                <c:pt idx="2">
                  <c:v>I - XII
2001</c:v>
                </c:pt>
                <c:pt idx="3">
                  <c:v>I - XII
2002</c:v>
                </c:pt>
                <c:pt idx="4">
                  <c:v>I - XII
2003</c:v>
                </c:pt>
                <c:pt idx="5">
                  <c:v>I - XII
2004</c:v>
                </c:pt>
                <c:pt idx="6">
                  <c:v>I - XII
2005</c:v>
                </c:pt>
                <c:pt idx="7">
                  <c:v>I - XII
2006</c:v>
                </c:pt>
                <c:pt idx="8">
                  <c:v>I - XII
2007</c:v>
                </c:pt>
                <c:pt idx="9">
                  <c:v>I - XII
2008</c:v>
                </c:pt>
                <c:pt idx="10">
                  <c:v>I - XII
2009</c:v>
                </c:pt>
                <c:pt idx="11">
                  <c:v>I - XII
2010</c:v>
                </c:pt>
                <c:pt idx="12">
                  <c:v>I - XII
2011</c:v>
                </c:pt>
                <c:pt idx="13">
                  <c:v>I - XII
2012</c:v>
                </c:pt>
                <c:pt idx="14">
                  <c:v>I - XII
2013</c:v>
                </c:pt>
              </c:strCache>
            </c:strRef>
          </c:cat>
          <c:val>
            <c:numRef>
              <c:f>Napływy!$B$23:$P$23</c:f>
              <c:numCache>
                <c:formatCode>General</c:formatCode>
                <c:ptCount val="15"/>
                <c:pt idx="0">
                  <c:v>42866</c:v>
                </c:pt>
                <c:pt idx="1">
                  <c:v>28277</c:v>
                </c:pt>
                <c:pt idx="2">
                  <c:v>35782</c:v>
                </c:pt>
                <c:pt idx="3">
                  <c:v>11874</c:v>
                </c:pt>
                <c:pt idx="4">
                  <c:v>-1038</c:v>
                </c:pt>
                <c:pt idx="5">
                  <c:v>-21142</c:v>
                </c:pt>
                <c:pt idx="6">
                  <c:v>-23777</c:v>
                </c:pt>
                <c:pt idx="7">
                  <c:v>-47935</c:v>
                </c:pt>
                <c:pt idx="8">
                  <c:v>-57960</c:v>
                </c:pt>
                <c:pt idx="9">
                  <c:v>-13567</c:v>
                </c:pt>
                <c:pt idx="10">
                  <c:v>32370</c:v>
                </c:pt>
                <c:pt idx="11">
                  <c:v>4022</c:v>
                </c:pt>
                <c:pt idx="12">
                  <c:v>-6707</c:v>
                </c:pt>
                <c:pt idx="13">
                  <c:v>13794</c:v>
                </c:pt>
                <c:pt idx="14">
                  <c:v>-3811</c:v>
                </c:pt>
              </c:numCache>
            </c:numRef>
          </c:val>
        </c:ser>
        <c:dLbls>
          <c:showLegendKey val="0"/>
          <c:showVal val="1"/>
          <c:showCatName val="0"/>
          <c:showSerName val="0"/>
          <c:showPercent val="0"/>
          <c:showBubbleSize val="0"/>
        </c:dLbls>
        <c:gapWidth val="150"/>
        <c:axId val="44289408"/>
        <c:axId val="84959232"/>
      </c:barChart>
      <c:catAx>
        <c:axId val="44289408"/>
        <c:scaling>
          <c:orientation val="minMax"/>
        </c:scaling>
        <c:delete val="0"/>
        <c:axPos val="b"/>
        <c:majorGridlines/>
        <c:numFmt formatCode="General" sourceLinked="1"/>
        <c:majorTickMark val="out"/>
        <c:minorTickMark val="none"/>
        <c:tickLblPos val="low"/>
        <c:txPr>
          <a:bodyPr/>
          <a:lstStyle/>
          <a:p>
            <a:pPr>
              <a:defRPr b="1"/>
            </a:pPr>
            <a:endParaRPr lang="pl-PL"/>
          </a:p>
        </c:txPr>
        <c:crossAx val="84959232"/>
        <c:crosses val="autoZero"/>
        <c:auto val="1"/>
        <c:lblAlgn val="ctr"/>
        <c:lblOffset val="100"/>
        <c:noMultiLvlLbl val="0"/>
      </c:catAx>
      <c:valAx>
        <c:axId val="84959232"/>
        <c:scaling>
          <c:orientation val="minMax"/>
        </c:scaling>
        <c:delete val="0"/>
        <c:axPos val="l"/>
        <c:majorGridlines/>
        <c:numFmt formatCode="General" sourceLinked="1"/>
        <c:majorTickMark val="out"/>
        <c:minorTickMark val="none"/>
        <c:tickLblPos val="nextTo"/>
        <c:txPr>
          <a:bodyPr/>
          <a:lstStyle/>
          <a:p>
            <a:pPr>
              <a:defRPr b="1"/>
            </a:pPr>
            <a:endParaRPr lang="pl-PL"/>
          </a:p>
        </c:txPr>
        <c:crossAx val="44289408"/>
        <c:crosses val="autoZero"/>
        <c:crossBetween val="between"/>
      </c:valAx>
      <c:spPr>
        <a:solidFill>
          <a:srgbClr val="FFFFC1"/>
        </a:solidFill>
      </c:spPr>
    </c:plotArea>
    <c:plotVisOnly val="1"/>
    <c:dispBlanksAs val="gap"/>
    <c:showDLblsOverMax val="0"/>
  </c:chart>
  <c:spPr>
    <a:solidFill>
      <a:srgbClr val="FFFFCC"/>
    </a:solidFill>
    <a:ln w="25400" cap="flat" cmpd="sng" algn="ctr">
      <a:solidFill>
        <a:schemeClr val="dk1"/>
      </a:solidFill>
      <a:prstDash val="solid"/>
    </a:ln>
    <a:effectLst/>
  </c:spPr>
  <c:txPr>
    <a:bodyPr/>
    <a:lstStyle/>
    <a:p>
      <a:pPr>
        <a:defRPr>
          <a:solidFill>
            <a:schemeClr val="dk1"/>
          </a:solidFill>
          <a:latin typeface="+mn-lt"/>
          <a:ea typeface="+mn-ea"/>
          <a:cs typeface="+mn-cs"/>
        </a:defRPr>
      </a:pPr>
      <a:endParaRPr lang="pl-PL"/>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400" b="1" i="0" u="none" strike="noStrike" baseline="0">
                <a:solidFill>
                  <a:srgbClr val="000000"/>
                </a:solidFill>
                <a:latin typeface="Calibri"/>
                <a:ea typeface="Calibri"/>
                <a:cs typeface="Calibri"/>
              </a:defRPr>
            </a:pPr>
            <a:r>
              <a:rPr lang="pl-PL" sz="1200"/>
              <a:t>Struktura bezrobotnych wg czasu pozostawania bez pracy - stan na koniec IV kwartału 2013 r.</a:t>
            </a:r>
          </a:p>
        </c:rich>
      </c:tx>
      <c:overlay val="0"/>
    </c:title>
    <c:autoTitleDeleted val="0"/>
    <c:view3D>
      <c:rotX val="30"/>
      <c:rotY val="0"/>
      <c:rAngAx val="0"/>
      <c:perspective val="30"/>
    </c:view3D>
    <c:floor>
      <c:thickness val="0"/>
    </c:floor>
    <c:sideWall>
      <c:thickness val="0"/>
    </c:sideWall>
    <c:backWall>
      <c:thickness val="0"/>
    </c:backWall>
    <c:plotArea>
      <c:layout/>
      <c:pie3DChart>
        <c:varyColors val="1"/>
        <c:ser>
          <c:idx val="0"/>
          <c:order val="0"/>
          <c:tx>
            <c:strRef>
              <c:f>Struktura!$A$2</c:f>
              <c:strCache>
                <c:ptCount val="1"/>
                <c:pt idx="0">
                  <c:v>Struktura bezrobotnych wg czasu pozostawania bez pracy</c:v>
                </c:pt>
              </c:strCache>
            </c:strRef>
          </c:tx>
          <c:explosion val="25"/>
          <c:dLbls>
            <c:dLbl>
              <c:idx val="0"/>
              <c:layout>
                <c:manualLayout>
                  <c:x val="7.0251628994136922E-2"/>
                  <c:y val="6.8372703412073708E-3"/>
                </c:manualLayout>
              </c:layout>
              <c:dLblPos val="bestFit"/>
              <c:showLegendKey val="0"/>
              <c:showVal val="0"/>
              <c:showCatName val="1"/>
              <c:showSerName val="0"/>
              <c:showPercent val="1"/>
              <c:showBubbleSize val="0"/>
              <c:separator>
</c:separator>
              <c:extLst>
                <c:ext xmlns:c15="http://schemas.microsoft.com/office/drawing/2012/chart" uri="{CE6537A1-D6FC-4f65-9D91-7224C49458BB}"/>
              </c:extLst>
            </c:dLbl>
            <c:dLbl>
              <c:idx val="1"/>
              <c:layout>
                <c:manualLayout>
                  <c:x val="-2.4064628737328227E-2"/>
                  <c:y val="-0.1022106165300766"/>
                </c:manualLayout>
              </c:layout>
              <c:dLblPos val="bestFit"/>
              <c:showLegendKey val="0"/>
              <c:showVal val="0"/>
              <c:showCatName val="1"/>
              <c:showSerName val="0"/>
              <c:showPercent val="1"/>
              <c:showBubbleSize val="0"/>
              <c:separator>
</c:separator>
              <c:extLst>
                <c:ext xmlns:c15="http://schemas.microsoft.com/office/drawing/2012/chart" uri="{CE6537A1-D6FC-4f65-9D91-7224C49458BB}"/>
              </c:extLst>
            </c:dLbl>
            <c:dLbl>
              <c:idx val="2"/>
              <c:layout>
                <c:manualLayout>
                  <c:x val="6.8084250662697007E-2"/>
                  <c:y val="4.9145642508972062E-4"/>
                </c:manualLayout>
              </c:layout>
              <c:dLblPos val="bestFit"/>
              <c:showLegendKey val="0"/>
              <c:showVal val="0"/>
              <c:showCatName val="1"/>
              <c:showSerName val="0"/>
              <c:showPercent val="1"/>
              <c:showBubbleSize val="0"/>
              <c:separator>
</c:separator>
              <c:extLst>
                <c:ext xmlns:c15="http://schemas.microsoft.com/office/drawing/2012/chart" uri="{CE6537A1-D6FC-4f65-9D91-7224C49458BB}"/>
              </c:extLst>
            </c:dLbl>
            <c:dLbl>
              <c:idx val="3"/>
              <c:layout>
                <c:manualLayout>
                  <c:x val="-0.20300927558184648"/>
                  <c:y val="-1.308455490682708E-2"/>
                </c:manualLayout>
              </c:layout>
              <c:dLblPos val="bestFit"/>
              <c:showLegendKey val="0"/>
              <c:showVal val="0"/>
              <c:showCatName val="1"/>
              <c:showSerName val="0"/>
              <c:showPercent val="1"/>
              <c:showBubbleSize val="0"/>
              <c:separator>
</c:separator>
              <c:extLst>
                <c:ext xmlns:c15="http://schemas.microsoft.com/office/drawing/2012/chart" uri="{CE6537A1-D6FC-4f65-9D91-7224C49458BB}"/>
              </c:extLst>
            </c:dLbl>
            <c:dLbl>
              <c:idx val="4"/>
              <c:layout>
                <c:manualLayout>
                  <c:x val="2.2050900353873821E-2"/>
                  <c:y val="0.1968742002487778"/>
                </c:manualLayout>
              </c:layout>
              <c:dLblPos val="bestFit"/>
              <c:showLegendKey val="0"/>
              <c:showVal val="0"/>
              <c:showCatName val="1"/>
              <c:showSerName val="0"/>
              <c:showPercent val="1"/>
              <c:showBubbleSize val="0"/>
              <c:separator>
</c:separator>
              <c:extLst>
                <c:ext xmlns:c15="http://schemas.microsoft.com/office/drawing/2012/chart" uri="{CE6537A1-D6FC-4f65-9D91-7224C49458BB}"/>
              </c:extLst>
            </c:dLbl>
            <c:dLbl>
              <c:idx val="5"/>
              <c:layout>
                <c:manualLayout>
                  <c:x val="-7.0910103898704224E-2"/>
                  <c:y val="-2.678772296320115E-3"/>
                </c:manualLayout>
              </c:layout>
              <c:dLblPos val="bestFit"/>
              <c:showLegendKey val="0"/>
              <c:showVal val="0"/>
              <c:showCatName val="1"/>
              <c:showSerName val="0"/>
              <c:showPercent val="1"/>
              <c:showBubbleSize val="0"/>
              <c:separator>
</c:separator>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pl-PL"/>
              </a:p>
            </c:txPr>
            <c:showLegendKey val="0"/>
            <c:showVal val="0"/>
            <c:showCatName val="1"/>
            <c:showSerName val="0"/>
            <c:showPercent val="1"/>
            <c:showBubbleSize val="0"/>
            <c:separator>
</c:separator>
            <c:showLeaderLines val="1"/>
            <c:extLst>
              <c:ext xmlns:c15="http://schemas.microsoft.com/office/drawing/2012/chart" uri="{CE6537A1-D6FC-4f65-9D91-7224C49458BB}"/>
            </c:extLst>
          </c:dLbls>
          <c:cat>
            <c:strRef>
              <c:f>Struktura!$A$4:$A$9</c:f>
              <c:strCache>
                <c:ptCount val="6"/>
                <c:pt idx="0">
                  <c:v>do 1 mies.</c:v>
                </c:pt>
                <c:pt idx="1">
                  <c:v>1 - 3 mies.</c:v>
                </c:pt>
                <c:pt idx="2">
                  <c:v>3 - 6 mies.</c:v>
                </c:pt>
                <c:pt idx="3">
                  <c:v>6 - 12 mies.</c:v>
                </c:pt>
                <c:pt idx="4">
                  <c:v>12 -24 mies.</c:v>
                </c:pt>
                <c:pt idx="5">
                  <c:v>pow . 24 mies.</c:v>
                </c:pt>
              </c:strCache>
            </c:strRef>
          </c:cat>
          <c:val>
            <c:numRef>
              <c:f>Struktura!$B$4:$B$9</c:f>
              <c:numCache>
                <c:formatCode>General</c:formatCode>
                <c:ptCount val="6"/>
                <c:pt idx="0">
                  <c:v>14710</c:v>
                </c:pt>
                <c:pt idx="1">
                  <c:v>28697</c:v>
                </c:pt>
                <c:pt idx="2">
                  <c:v>25921</c:v>
                </c:pt>
                <c:pt idx="3">
                  <c:v>29828</c:v>
                </c:pt>
                <c:pt idx="4">
                  <c:v>27702</c:v>
                </c:pt>
                <c:pt idx="5">
                  <c:v>26700</c:v>
                </c:pt>
              </c:numCache>
            </c:numRef>
          </c:val>
        </c:ser>
        <c:dLbls>
          <c:showLegendKey val="0"/>
          <c:showVal val="1"/>
          <c:showCatName val="0"/>
          <c:showSerName val="0"/>
          <c:showPercent val="0"/>
          <c:showBubbleSize val="0"/>
          <c:showLeaderLines val="1"/>
        </c:dLbls>
      </c:pie3DChart>
      <c:spPr>
        <a:noFill/>
        <a:ln w="25400">
          <a:noFill/>
        </a:ln>
      </c:spPr>
    </c:plotArea>
    <c:plotVisOnly val="1"/>
    <c:dispBlanksAs val="zero"/>
    <c:showDLblsOverMax val="0"/>
  </c:chart>
  <c:spPr>
    <a:solidFill>
      <a:srgbClr val="FFFECE"/>
    </a:solidFill>
    <a:ln w="25400" cap="flat" cmpd="sng" algn="ctr">
      <a:solidFill>
        <a:schemeClr val="dk1"/>
      </a:solidFill>
      <a:prstDash val="solid"/>
    </a:ln>
    <a:effectLst/>
  </c:spPr>
  <c:txPr>
    <a:bodyPr/>
    <a:lstStyle/>
    <a:p>
      <a:pPr>
        <a:defRPr sz="1000" b="0" i="0" u="none" strike="noStrike" baseline="0">
          <a:solidFill>
            <a:srgbClr val="000000"/>
          </a:solidFill>
          <a:latin typeface="Calibri"/>
          <a:ea typeface="Calibri"/>
          <a:cs typeface="Calibri"/>
        </a:defRPr>
      </a:pPr>
      <a:endParaRPr lang="pl-PL"/>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0" i="0" u="none" strike="noStrike" baseline="0">
                <a:solidFill>
                  <a:srgbClr val="000000"/>
                </a:solidFill>
                <a:latin typeface="Calibri"/>
                <a:ea typeface="Calibri"/>
                <a:cs typeface="Calibri"/>
              </a:defRPr>
            </a:pPr>
            <a:r>
              <a:rPr lang="pl-PL" sz="1200" b="1" i="0" u="none" strike="noStrike" baseline="0">
                <a:solidFill>
                  <a:srgbClr val="000000"/>
                </a:solidFill>
                <a:latin typeface="Calibri"/>
              </a:rPr>
              <a:t>Struktura bezrobotnych wg wieku </a:t>
            </a:r>
          </a:p>
          <a:p>
            <a:pPr>
              <a:defRPr sz="1000" b="0" i="0" u="none" strike="noStrike" baseline="0">
                <a:solidFill>
                  <a:srgbClr val="000000"/>
                </a:solidFill>
                <a:latin typeface="Calibri"/>
                <a:ea typeface="Calibri"/>
                <a:cs typeface="Calibri"/>
              </a:defRPr>
            </a:pPr>
            <a:r>
              <a:rPr lang="pl-PL" sz="1200" b="1" i="0" u="none" strike="noStrike" baseline="0">
                <a:solidFill>
                  <a:srgbClr val="000000"/>
                </a:solidFill>
                <a:latin typeface="Calibri"/>
              </a:rPr>
              <a:t>stan na koniec IV kwartału 2013 r.</a:t>
            </a:r>
          </a:p>
        </c:rich>
      </c:tx>
      <c:layout>
        <c:manualLayout>
          <c:xMode val="edge"/>
          <c:yMode val="edge"/>
          <c:x val="0.27026971191314397"/>
          <c:y val="8.5015940488841653E-3"/>
        </c:manualLayout>
      </c:layout>
      <c:overlay val="0"/>
    </c:title>
    <c:autoTitleDeleted val="0"/>
    <c:view3D>
      <c:rotX val="30"/>
      <c:rotY val="0"/>
      <c:rAngAx val="0"/>
      <c:perspective val="30"/>
    </c:view3D>
    <c:floor>
      <c:thickness val="0"/>
    </c:floor>
    <c:sideWall>
      <c:thickness val="0"/>
    </c:sideWall>
    <c:backWall>
      <c:thickness val="0"/>
    </c:backWall>
    <c:plotArea>
      <c:layout/>
      <c:pie3DChart>
        <c:varyColors val="1"/>
        <c:ser>
          <c:idx val="0"/>
          <c:order val="0"/>
          <c:tx>
            <c:strRef>
              <c:f>Struktura!$A$31</c:f>
              <c:strCache>
                <c:ptCount val="1"/>
                <c:pt idx="0">
                  <c:v>Bezrobotni wg wieku </c:v>
                </c:pt>
              </c:strCache>
            </c:strRef>
          </c:tx>
          <c:explosion val="25"/>
          <c:dLbls>
            <c:dLbl>
              <c:idx val="0"/>
              <c:layout>
                <c:manualLayout>
                  <c:x val="0.12359427708352448"/>
                  <c:y val="-3.5122444556815752E-3"/>
                </c:manualLayout>
              </c:layout>
              <c:spPr/>
              <c:txPr>
                <a:bodyPr/>
                <a:lstStyle/>
                <a:p>
                  <a:pPr>
                    <a:defRPr/>
                  </a:pPr>
                  <a:endParaRPr lang="pl-PL"/>
                </a:p>
              </c:txPr>
              <c:dLblPos val="bestFit"/>
              <c:showLegendKey val="0"/>
              <c:showVal val="1"/>
              <c:showCatName val="1"/>
              <c:showSerName val="0"/>
              <c:showPercent val="0"/>
              <c:showBubbleSize val="0"/>
              <c:separator>
</c:separator>
              <c:extLst>
                <c:ext xmlns:c15="http://schemas.microsoft.com/office/drawing/2012/chart" uri="{CE6537A1-D6FC-4f65-9D91-7224C49458BB}"/>
              </c:extLst>
            </c:dLbl>
            <c:dLbl>
              <c:idx val="1"/>
              <c:layout>
                <c:manualLayout>
                  <c:x val="-8.0348302233365101E-2"/>
                  <c:y val="0.20736112114426125"/>
                </c:manualLayout>
              </c:layout>
              <c:spPr/>
              <c:txPr>
                <a:bodyPr/>
                <a:lstStyle/>
                <a:p>
                  <a:pPr>
                    <a:defRPr/>
                  </a:pPr>
                  <a:endParaRPr lang="pl-PL"/>
                </a:p>
              </c:txPr>
              <c:dLblPos val="bestFit"/>
              <c:showLegendKey val="0"/>
              <c:showVal val="1"/>
              <c:showCatName val="1"/>
              <c:showSerName val="0"/>
              <c:showPercent val="0"/>
              <c:showBubbleSize val="0"/>
              <c:separator>
</c:separator>
              <c:extLst>
                <c:ext xmlns:c15="http://schemas.microsoft.com/office/drawing/2012/chart" uri="{CE6537A1-D6FC-4f65-9D91-7224C49458BB}"/>
              </c:extLst>
            </c:dLbl>
            <c:dLbl>
              <c:idx val="2"/>
              <c:layout>
                <c:manualLayout>
                  <c:x val="-5.4541814114031834E-2"/>
                  <c:y val="2.2555322786486699E-3"/>
                </c:manualLayout>
              </c:layout>
              <c:spPr/>
              <c:txPr>
                <a:bodyPr/>
                <a:lstStyle/>
                <a:p>
                  <a:pPr>
                    <a:defRPr/>
                  </a:pPr>
                  <a:endParaRPr lang="pl-PL"/>
                </a:p>
              </c:txPr>
              <c:dLblPos val="bestFit"/>
              <c:showLegendKey val="0"/>
              <c:showVal val="1"/>
              <c:showCatName val="1"/>
              <c:showSerName val="0"/>
              <c:showPercent val="0"/>
              <c:showBubbleSize val="0"/>
              <c:separator>
</c:separator>
              <c:extLst>
                <c:ext xmlns:c15="http://schemas.microsoft.com/office/drawing/2012/chart" uri="{CE6537A1-D6FC-4f65-9D91-7224C49458BB}"/>
              </c:extLst>
            </c:dLbl>
            <c:dLbl>
              <c:idx val="3"/>
              <c:layout>
                <c:manualLayout>
                  <c:x val="4.939197276957296E-2"/>
                  <c:y val="0.29380192154879731"/>
                </c:manualLayout>
              </c:layout>
              <c:spPr/>
              <c:txPr>
                <a:bodyPr/>
                <a:lstStyle/>
                <a:p>
                  <a:pPr>
                    <a:defRPr/>
                  </a:pPr>
                  <a:endParaRPr lang="pl-PL"/>
                </a:p>
              </c:txPr>
              <c:dLblPos val="bestFit"/>
              <c:showLegendKey val="0"/>
              <c:showVal val="1"/>
              <c:showCatName val="1"/>
              <c:showSerName val="0"/>
              <c:showPercent val="0"/>
              <c:showBubbleSize val="0"/>
              <c:separator>
</c:separator>
              <c:extLst>
                <c:ext xmlns:c15="http://schemas.microsoft.com/office/drawing/2012/chart" uri="{CE6537A1-D6FC-4f65-9D91-7224C49458BB}"/>
              </c:extLst>
            </c:dLbl>
            <c:dLbl>
              <c:idx val="4"/>
              <c:layout>
                <c:manualLayout>
                  <c:x val="-9.1870133148779343E-2"/>
                  <c:y val="-3.2616725661585882E-2"/>
                </c:manualLayout>
              </c:layout>
              <c:spPr/>
              <c:txPr>
                <a:bodyPr/>
                <a:lstStyle/>
                <a:p>
                  <a:pPr>
                    <a:defRPr/>
                  </a:pPr>
                  <a:endParaRPr lang="pl-PL"/>
                </a:p>
              </c:txPr>
              <c:dLblPos val="bestFit"/>
              <c:showLegendKey val="0"/>
              <c:showVal val="1"/>
              <c:showCatName val="1"/>
              <c:showSerName val="0"/>
              <c:showPercent val="0"/>
              <c:showBubbleSize val="0"/>
              <c:separator>
</c:separator>
              <c:extLst>
                <c:ext xmlns:c15="http://schemas.microsoft.com/office/drawing/2012/chart" uri="{CE6537A1-D6FC-4f65-9D91-7224C49458BB}"/>
              </c:extLst>
            </c:dLbl>
            <c:dLbl>
              <c:idx val="5"/>
              <c:layout>
                <c:manualLayout>
                  <c:x val="0.17295290824965287"/>
                  <c:y val="-1.7727852825736235E-2"/>
                </c:manualLayout>
              </c:layout>
              <c:spPr/>
              <c:txPr>
                <a:bodyPr/>
                <a:lstStyle/>
                <a:p>
                  <a:pPr>
                    <a:defRPr/>
                  </a:pPr>
                  <a:endParaRPr lang="pl-PL"/>
                </a:p>
              </c:txPr>
              <c:dLblPos val="bestFit"/>
              <c:showLegendKey val="0"/>
              <c:showVal val="1"/>
              <c:showCatName val="1"/>
              <c:showSerName val="0"/>
              <c:showPercent val="0"/>
              <c:showBubbleSize val="0"/>
              <c:separator>
</c:separator>
              <c:extLst>
                <c:ext xmlns:c15="http://schemas.microsoft.com/office/drawing/2012/chart" uri="{CE6537A1-D6FC-4f65-9D91-7224C49458BB}"/>
              </c:extLst>
            </c:dLbl>
            <c:spPr>
              <a:noFill/>
              <a:ln>
                <a:noFill/>
              </a:ln>
              <a:effectLst/>
            </c:spPr>
            <c:showLegendKey val="0"/>
            <c:showVal val="1"/>
            <c:showCatName val="1"/>
            <c:showSerName val="0"/>
            <c:showPercent val="0"/>
            <c:showBubbleSize val="0"/>
            <c:separator>
</c:separator>
            <c:showLeaderLines val="1"/>
            <c:extLst>
              <c:ext xmlns:c15="http://schemas.microsoft.com/office/drawing/2012/chart" uri="{CE6537A1-D6FC-4f65-9D91-7224C49458BB}"/>
            </c:extLst>
          </c:dLbls>
          <c:cat>
            <c:strRef>
              <c:f>Struktura!$A$34:$A$39</c:f>
              <c:strCache>
                <c:ptCount val="6"/>
                <c:pt idx="0">
                  <c:v>18 - 24 lata</c:v>
                </c:pt>
                <c:pt idx="1">
                  <c:v>25-34 lata</c:v>
                </c:pt>
                <c:pt idx="2">
                  <c:v>35-44 lata</c:v>
                </c:pt>
                <c:pt idx="3">
                  <c:v>45-54 lata</c:v>
                </c:pt>
                <c:pt idx="4">
                  <c:v>55-59 lata</c:v>
                </c:pt>
                <c:pt idx="5">
                  <c:v>60-64 lata</c:v>
                </c:pt>
              </c:strCache>
            </c:strRef>
          </c:cat>
          <c:val>
            <c:numRef>
              <c:f>Struktura!$E$34:$E$39</c:f>
              <c:numCache>
                <c:formatCode>0.0</c:formatCode>
                <c:ptCount val="6"/>
                <c:pt idx="0">
                  <c:v>15.037966110525014</c:v>
                </c:pt>
                <c:pt idx="1">
                  <c:v>26.949426275413852</c:v>
                </c:pt>
                <c:pt idx="2">
                  <c:v>20.161762982065408</c:v>
                </c:pt>
                <c:pt idx="3">
                  <c:v>19.656416468044647</c:v>
                </c:pt>
                <c:pt idx="4">
                  <c:v>13.439872881907814</c:v>
                </c:pt>
                <c:pt idx="5">
                  <c:v>4.7545552820432668</c:v>
                </c:pt>
              </c:numCache>
            </c:numRef>
          </c:val>
        </c:ser>
        <c:dLbls>
          <c:showLegendKey val="0"/>
          <c:showVal val="1"/>
          <c:showCatName val="0"/>
          <c:showSerName val="0"/>
          <c:showPercent val="0"/>
          <c:showBubbleSize val="0"/>
          <c:showLeaderLines val="1"/>
        </c:dLbls>
      </c:pie3DChart>
      <c:spPr>
        <a:noFill/>
        <a:ln w="25400">
          <a:noFill/>
        </a:ln>
      </c:spPr>
    </c:plotArea>
    <c:plotVisOnly val="1"/>
    <c:dispBlanksAs val="zero"/>
    <c:showDLblsOverMax val="0"/>
  </c:chart>
  <c:spPr>
    <a:solidFill>
      <a:srgbClr val="FFFECE"/>
    </a:solidFill>
    <a:ln w="25400" cap="flat" cmpd="sng" algn="ctr">
      <a:solidFill>
        <a:schemeClr val="dk1"/>
      </a:solidFill>
      <a:prstDash val="solid"/>
    </a:ln>
    <a:effectLst/>
  </c:spPr>
  <c:txPr>
    <a:bodyPr/>
    <a:lstStyle/>
    <a:p>
      <a:pPr>
        <a:defRPr sz="1000" b="0" i="0" u="none" strike="noStrike" baseline="0">
          <a:solidFill>
            <a:srgbClr val="000000"/>
          </a:solidFill>
          <a:latin typeface="Calibri"/>
          <a:ea typeface="Calibri"/>
          <a:cs typeface="Calibri"/>
        </a:defRPr>
      </a:pPr>
      <a:endParaRPr lang="pl-PL"/>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0" i="0" u="none" strike="noStrike" baseline="0">
                <a:solidFill>
                  <a:srgbClr val="000000"/>
                </a:solidFill>
                <a:latin typeface="Calibri"/>
                <a:ea typeface="Calibri"/>
                <a:cs typeface="Calibri"/>
              </a:defRPr>
            </a:pPr>
            <a:r>
              <a:rPr lang="pl-PL" sz="1200" b="1" i="0" u="none" strike="noStrike" baseline="0">
                <a:solidFill>
                  <a:srgbClr val="000000"/>
                </a:solidFill>
                <a:latin typeface="Calibri"/>
              </a:rPr>
              <a:t>Struktura bezrobotnych wg wykształcenia</a:t>
            </a:r>
          </a:p>
          <a:p>
            <a:pPr>
              <a:defRPr sz="1000" b="0" i="0" u="none" strike="noStrike" baseline="0">
                <a:solidFill>
                  <a:srgbClr val="000000"/>
                </a:solidFill>
                <a:latin typeface="Calibri"/>
                <a:ea typeface="Calibri"/>
                <a:cs typeface="Calibri"/>
              </a:defRPr>
            </a:pPr>
            <a:r>
              <a:rPr lang="pl-PL" sz="1200" b="1" i="0" u="none" strike="noStrike" baseline="0">
                <a:solidFill>
                  <a:srgbClr val="000000"/>
                </a:solidFill>
                <a:latin typeface="Calibri"/>
              </a:rPr>
              <a:t>stan na koniec IV kwartału 2013 r. </a:t>
            </a:r>
          </a:p>
        </c:rich>
      </c:tx>
      <c:overlay val="0"/>
    </c:title>
    <c:autoTitleDeleted val="0"/>
    <c:view3D>
      <c:rotX val="30"/>
      <c:rotY val="0"/>
      <c:rAngAx val="0"/>
      <c:perspective val="30"/>
    </c:view3D>
    <c:floor>
      <c:thickness val="0"/>
    </c:floor>
    <c:sideWall>
      <c:thickness val="0"/>
    </c:sideWall>
    <c:backWall>
      <c:thickness val="0"/>
    </c:backWall>
    <c:plotArea>
      <c:layout/>
      <c:pie3DChart>
        <c:varyColors val="1"/>
        <c:ser>
          <c:idx val="0"/>
          <c:order val="0"/>
          <c:tx>
            <c:strRef>
              <c:f>Struktura!$A$57</c:f>
              <c:strCache>
                <c:ptCount val="1"/>
                <c:pt idx="0">
                  <c:v>Struktura bezrobotnych wg wykształcenia</c:v>
                </c:pt>
              </c:strCache>
            </c:strRef>
          </c:tx>
          <c:explosion val="25"/>
          <c:dLbls>
            <c:dLbl>
              <c:idx val="0"/>
              <c:layout>
                <c:manualLayout>
                  <c:x val="8.2970597261729687E-2"/>
                  <c:y val="-2.8406523811389246E-3"/>
                </c:manualLayout>
              </c:layout>
              <c:spPr/>
              <c:txPr>
                <a:bodyPr/>
                <a:lstStyle/>
                <a:p>
                  <a:pPr>
                    <a:defRPr/>
                  </a:pPr>
                  <a:endParaRPr lang="pl-PL"/>
                </a:p>
              </c:txPr>
              <c:dLblPos val="bestFit"/>
              <c:showLegendKey val="0"/>
              <c:showVal val="1"/>
              <c:showCatName val="1"/>
              <c:showSerName val="0"/>
              <c:showPercent val="0"/>
              <c:showBubbleSize val="0"/>
              <c:separator>
</c:separator>
              <c:extLst>
                <c:ext xmlns:c15="http://schemas.microsoft.com/office/drawing/2012/chart" uri="{CE6537A1-D6FC-4f65-9D91-7224C49458BB}"/>
              </c:extLst>
            </c:dLbl>
            <c:dLbl>
              <c:idx val="1"/>
              <c:layout>
                <c:manualLayout>
                  <c:x val="-9.3716819428985004E-3"/>
                  <c:y val="-0.20497016231180071"/>
                </c:manualLayout>
              </c:layout>
              <c:spPr/>
              <c:txPr>
                <a:bodyPr/>
                <a:lstStyle/>
                <a:p>
                  <a:pPr>
                    <a:defRPr/>
                  </a:pPr>
                  <a:endParaRPr lang="pl-PL"/>
                </a:p>
              </c:txPr>
              <c:dLblPos val="bestFit"/>
              <c:showLegendKey val="0"/>
              <c:showVal val="1"/>
              <c:showCatName val="1"/>
              <c:showSerName val="0"/>
              <c:showPercent val="0"/>
              <c:showBubbleSize val="0"/>
              <c:separator>
</c:separator>
              <c:extLst>
                <c:ext xmlns:c15="http://schemas.microsoft.com/office/drawing/2012/chart" uri="{CE6537A1-D6FC-4f65-9D91-7224C49458BB}"/>
              </c:extLst>
            </c:dLbl>
            <c:dLbl>
              <c:idx val="2"/>
              <c:layout>
                <c:manualLayout>
                  <c:x val="-0.24249568280404812"/>
                  <c:y val="0.1092939501965243"/>
                </c:manualLayout>
              </c:layout>
              <c:spPr/>
              <c:txPr>
                <a:bodyPr/>
                <a:lstStyle/>
                <a:p>
                  <a:pPr>
                    <a:defRPr/>
                  </a:pPr>
                  <a:endParaRPr lang="pl-PL"/>
                </a:p>
              </c:txPr>
              <c:dLblPos val="bestFit"/>
              <c:showLegendKey val="0"/>
              <c:showVal val="1"/>
              <c:showCatName val="1"/>
              <c:showSerName val="0"/>
              <c:showPercent val="0"/>
              <c:showBubbleSize val="0"/>
              <c:separator>
</c:separator>
              <c:extLst>
                <c:ext xmlns:c15="http://schemas.microsoft.com/office/drawing/2012/chart" uri="{CE6537A1-D6FC-4f65-9D91-7224C49458BB}"/>
              </c:extLst>
            </c:dLbl>
            <c:dLbl>
              <c:idx val="3"/>
              <c:layout>
                <c:manualLayout>
                  <c:x val="-8.0316609638454883E-2"/>
                  <c:y val="-1.3538606181689974E-2"/>
                </c:manualLayout>
              </c:layout>
              <c:spPr/>
              <c:txPr>
                <a:bodyPr/>
                <a:lstStyle/>
                <a:p>
                  <a:pPr>
                    <a:defRPr/>
                  </a:pPr>
                  <a:endParaRPr lang="pl-PL"/>
                </a:p>
              </c:txPr>
              <c:dLblPos val="bestFit"/>
              <c:showLegendKey val="0"/>
              <c:showVal val="1"/>
              <c:showCatName val="1"/>
              <c:showSerName val="0"/>
              <c:showPercent val="0"/>
              <c:showBubbleSize val="0"/>
              <c:separator>
</c:separator>
              <c:extLst>
                <c:ext xmlns:c15="http://schemas.microsoft.com/office/drawing/2012/chart" uri="{CE6537A1-D6FC-4f65-9D91-7224C49458BB}"/>
              </c:extLst>
            </c:dLbl>
            <c:dLbl>
              <c:idx val="4"/>
              <c:layout>
                <c:manualLayout>
                  <c:x val="-3.5476403145941839E-2"/>
                  <c:y val="-3.5597863699873486E-2"/>
                </c:manualLayout>
              </c:layout>
              <c:spPr/>
              <c:txPr>
                <a:bodyPr/>
                <a:lstStyle/>
                <a:p>
                  <a:pPr>
                    <a:defRPr/>
                  </a:pPr>
                  <a:endParaRPr lang="pl-PL"/>
                </a:p>
              </c:txPr>
              <c:dLblPos val="bestFit"/>
              <c:showLegendKey val="0"/>
              <c:showVal val="1"/>
              <c:showCatName val="1"/>
              <c:showSerName val="0"/>
              <c:showPercent val="0"/>
              <c:showBubbleSize val="0"/>
              <c:separator>
</c:separator>
              <c:extLst>
                <c:ext xmlns:c15="http://schemas.microsoft.com/office/drawing/2012/chart" uri="{CE6537A1-D6FC-4f65-9D91-7224C49458BB}"/>
              </c:extLst>
            </c:dLbl>
            <c:spPr>
              <a:noFill/>
              <a:ln>
                <a:noFill/>
              </a:ln>
              <a:effectLst/>
            </c:spPr>
            <c:showLegendKey val="0"/>
            <c:showVal val="1"/>
            <c:showCatName val="1"/>
            <c:showSerName val="0"/>
            <c:showPercent val="0"/>
            <c:showBubbleSize val="0"/>
            <c:separator>
</c:separator>
            <c:showLeaderLines val="1"/>
            <c:extLst>
              <c:ext xmlns:c15="http://schemas.microsoft.com/office/drawing/2012/chart" uri="{CE6537A1-D6FC-4f65-9D91-7224C49458BB}"/>
            </c:extLst>
          </c:dLbls>
          <c:cat>
            <c:strRef>
              <c:f>Struktura!$A$59:$A$63</c:f>
              <c:strCache>
                <c:ptCount val="5"/>
                <c:pt idx="0">
                  <c:v>wyższe</c:v>
                </c:pt>
                <c:pt idx="1">
                  <c:v>policealne i średnie zawodowe</c:v>
                </c:pt>
                <c:pt idx="2">
                  <c:v>średnie ogólnokształcące</c:v>
                </c:pt>
                <c:pt idx="3">
                  <c:v>zasadnicze zawodowe</c:v>
                </c:pt>
                <c:pt idx="4">
                  <c:v>gimnazjalne i poniżej</c:v>
                </c:pt>
              </c:strCache>
            </c:strRef>
          </c:cat>
          <c:val>
            <c:numRef>
              <c:f>Struktura!$E$59:$E$63</c:f>
              <c:numCache>
                <c:formatCode>0.0</c:formatCode>
                <c:ptCount val="5"/>
                <c:pt idx="0">
                  <c:v>10.844762239674912</c:v>
                </c:pt>
                <c:pt idx="1">
                  <c:v>21.042212063194363</c:v>
                </c:pt>
                <c:pt idx="2">
                  <c:v>9.6406569504682267</c:v>
                </c:pt>
                <c:pt idx="3">
                  <c:v>28.829497649096758</c:v>
                </c:pt>
                <c:pt idx="4">
                  <c:v>29.642871097565742</c:v>
                </c:pt>
              </c:numCache>
            </c:numRef>
          </c:val>
        </c:ser>
        <c:ser>
          <c:idx val="1"/>
          <c:order val="1"/>
          <c:tx>
            <c:strRef>
              <c:f>Struktura!$A$57</c:f>
              <c:strCache>
                <c:ptCount val="1"/>
                <c:pt idx="0">
                  <c:v>Struktura bezrobotnych wg wykształcenia</c:v>
                </c:pt>
              </c:strCache>
            </c:strRef>
          </c:tx>
          <c:dLbls>
            <c:spPr>
              <a:noFill/>
              <a:ln>
                <a:noFill/>
              </a:ln>
              <a:effectLst/>
            </c:spPr>
            <c:showLegendKey val="0"/>
            <c:showVal val="1"/>
            <c:showCatName val="0"/>
            <c:showSerName val="0"/>
            <c:showPercent val="0"/>
            <c:showBubbleSize val="0"/>
            <c:showLeaderLines val="1"/>
            <c:extLst>
              <c:ext xmlns:c15="http://schemas.microsoft.com/office/drawing/2012/chart" uri="{CE6537A1-D6FC-4f65-9D91-7224C49458BB}"/>
            </c:extLst>
          </c:dLbls>
          <c:cat>
            <c:strRef>
              <c:f>Struktura!$A$59:$A$63</c:f>
              <c:strCache>
                <c:ptCount val="5"/>
                <c:pt idx="0">
                  <c:v>wyższe</c:v>
                </c:pt>
                <c:pt idx="1">
                  <c:v>policealne i średnie zawodowe</c:v>
                </c:pt>
                <c:pt idx="2">
                  <c:v>średnie ogólnokształcące</c:v>
                </c:pt>
                <c:pt idx="3">
                  <c:v>zasadnicze zawodowe</c:v>
                </c:pt>
                <c:pt idx="4">
                  <c:v>gimnazjalne i poniżej</c:v>
                </c:pt>
              </c:strCache>
            </c:strRef>
          </c:cat>
          <c:val>
            <c:numRef>
              <c:f>Struktura!$B$59:$B$63</c:f>
              <c:numCache>
                <c:formatCode>General</c:formatCode>
                <c:ptCount val="5"/>
                <c:pt idx="0">
                  <c:v>16653</c:v>
                </c:pt>
                <c:pt idx="1">
                  <c:v>32312</c:v>
                </c:pt>
                <c:pt idx="2">
                  <c:v>14804</c:v>
                </c:pt>
                <c:pt idx="3">
                  <c:v>44270</c:v>
                </c:pt>
                <c:pt idx="4">
                  <c:v>45519</c:v>
                </c:pt>
              </c:numCache>
            </c:numRef>
          </c:val>
        </c:ser>
        <c:dLbls>
          <c:showLegendKey val="0"/>
          <c:showVal val="1"/>
          <c:showCatName val="0"/>
          <c:showSerName val="0"/>
          <c:showPercent val="0"/>
          <c:showBubbleSize val="0"/>
          <c:showLeaderLines val="1"/>
        </c:dLbls>
      </c:pie3DChart>
      <c:spPr>
        <a:noFill/>
        <a:ln w="25400">
          <a:noFill/>
        </a:ln>
      </c:spPr>
    </c:plotArea>
    <c:plotVisOnly val="1"/>
    <c:dispBlanksAs val="zero"/>
    <c:showDLblsOverMax val="0"/>
  </c:chart>
  <c:spPr>
    <a:solidFill>
      <a:srgbClr val="FFFECE"/>
    </a:solidFill>
    <a:ln w="25400" cap="flat" cmpd="sng" algn="ctr">
      <a:solidFill>
        <a:schemeClr val="dk1"/>
      </a:solidFill>
      <a:prstDash val="solid"/>
    </a:ln>
    <a:effectLst/>
  </c:spPr>
  <c:txPr>
    <a:bodyPr/>
    <a:lstStyle/>
    <a:p>
      <a:pPr>
        <a:defRPr sz="1000" b="0" i="0" u="none" strike="noStrike" baseline="0">
          <a:solidFill>
            <a:srgbClr val="000000"/>
          </a:solidFill>
          <a:latin typeface="Calibri"/>
          <a:ea typeface="Calibri"/>
          <a:cs typeface="Calibri"/>
        </a:defRPr>
      </a:pPr>
      <a:endParaRPr lang="pl-PL"/>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0" i="0" u="none" strike="noStrike" baseline="0">
                <a:solidFill>
                  <a:srgbClr val="000000"/>
                </a:solidFill>
                <a:latin typeface="Calibri"/>
                <a:ea typeface="Calibri"/>
                <a:cs typeface="Calibri"/>
              </a:defRPr>
            </a:pPr>
            <a:r>
              <a:rPr lang="pl-PL" sz="1100" b="1" i="0" u="none" strike="noStrike" baseline="0">
                <a:solidFill>
                  <a:srgbClr val="000000"/>
                </a:solidFill>
                <a:latin typeface="Calibri"/>
              </a:rPr>
              <a:t>Struktura bezrobotnych wg stażu pracy</a:t>
            </a:r>
          </a:p>
          <a:p>
            <a:pPr>
              <a:defRPr sz="1000" b="0" i="0" u="none" strike="noStrike" baseline="0">
                <a:solidFill>
                  <a:srgbClr val="000000"/>
                </a:solidFill>
                <a:latin typeface="Calibri"/>
                <a:ea typeface="Calibri"/>
                <a:cs typeface="Calibri"/>
              </a:defRPr>
            </a:pPr>
            <a:r>
              <a:rPr lang="pl-PL" sz="1100" b="1" i="0" u="none" strike="noStrike" baseline="0">
                <a:solidFill>
                  <a:srgbClr val="000000"/>
                </a:solidFill>
                <a:latin typeface="Calibri"/>
              </a:rPr>
              <a:t>stan na koniec IV kwartału 2013 r.</a:t>
            </a:r>
          </a:p>
        </c:rich>
      </c:tx>
      <c:overlay val="0"/>
    </c:title>
    <c:autoTitleDeleted val="0"/>
    <c:view3D>
      <c:rotX val="30"/>
      <c:rotY val="0"/>
      <c:rAngAx val="0"/>
      <c:perspective val="30"/>
    </c:view3D>
    <c:floor>
      <c:thickness val="0"/>
    </c:floor>
    <c:sideWall>
      <c:thickness val="0"/>
    </c:sideWall>
    <c:backWall>
      <c:thickness val="0"/>
    </c:backWall>
    <c:plotArea>
      <c:layout/>
      <c:pie3DChart>
        <c:varyColors val="1"/>
        <c:ser>
          <c:idx val="0"/>
          <c:order val="0"/>
          <c:tx>
            <c:strRef>
              <c:f>Struktura!$A$84</c:f>
              <c:strCache>
                <c:ptCount val="1"/>
                <c:pt idx="0">
                  <c:v>Struktura bezrobotnych wg stażu pracy</c:v>
                </c:pt>
              </c:strCache>
            </c:strRef>
          </c:tx>
          <c:explosion val="25"/>
          <c:dLbls>
            <c:dLbl>
              <c:idx val="0"/>
              <c:layout>
                <c:manualLayout>
                  <c:x val="7.4659378321511469E-2"/>
                  <c:y val="-1.3063292461576632E-2"/>
                </c:manualLayout>
              </c:layout>
              <c:dLblPos val="bestFit"/>
              <c:showLegendKey val="0"/>
              <c:showVal val="0"/>
              <c:showCatName val="1"/>
              <c:showSerName val="0"/>
              <c:showPercent val="1"/>
              <c:showBubbleSize val="0"/>
              <c:separator>
</c:separator>
              <c:extLst>
                <c:ext xmlns:c15="http://schemas.microsoft.com/office/drawing/2012/chart" uri="{CE6537A1-D6FC-4f65-9D91-7224C49458BB}"/>
              </c:extLst>
            </c:dLbl>
            <c:dLbl>
              <c:idx val="1"/>
              <c:layout>
                <c:manualLayout>
                  <c:x val="-1.9529648346195627E-3"/>
                  <c:y val="0.18010230863999144"/>
                </c:manualLayout>
              </c:layout>
              <c:dLblPos val="bestFit"/>
              <c:showLegendKey val="0"/>
              <c:showVal val="0"/>
              <c:showCatName val="1"/>
              <c:showSerName val="0"/>
              <c:showPercent val="1"/>
              <c:showBubbleSize val="0"/>
              <c:separator>
</c:separator>
              <c:extLst>
                <c:ext xmlns:c15="http://schemas.microsoft.com/office/drawing/2012/chart" uri="{CE6537A1-D6FC-4f65-9D91-7224C49458BB}"/>
              </c:extLst>
            </c:dLbl>
            <c:dLbl>
              <c:idx val="2"/>
              <c:layout>
                <c:manualLayout>
                  <c:x val="0.21180989192271371"/>
                  <c:y val="-2.8121484814398068E-3"/>
                </c:manualLayout>
              </c:layout>
              <c:dLblPos val="bestFit"/>
              <c:showLegendKey val="0"/>
              <c:showVal val="0"/>
              <c:showCatName val="1"/>
              <c:showSerName val="0"/>
              <c:showPercent val="1"/>
              <c:showBubbleSize val="0"/>
              <c:separator>
</c:separator>
              <c:extLst>
                <c:ext xmlns:c15="http://schemas.microsoft.com/office/drawing/2012/chart" uri="{CE6537A1-D6FC-4f65-9D91-7224C49458BB}"/>
              </c:extLst>
            </c:dLbl>
            <c:dLbl>
              <c:idx val="3"/>
              <c:layout>
                <c:manualLayout>
                  <c:x val="-0.1768933112216694"/>
                  <c:y val="-9.6984841180567272E-2"/>
                </c:manualLayout>
              </c:layout>
              <c:dLblPos val="bestFit"/>
              <c:showLegendKey val="0"/>
              <c:showVal val="0"/>
              <c:showCatName val="1"/>
              <c:showSerName val="0"/>
              <c:showPercent val="1"/>
              <c:showBubbleSize val="0"/>
              <c:separator>
</c:separator>
              <c:extLst>
                <c:ext xmlns:c15="http://schemas.microsoft.com/office/drawing/2012/chart" uri="{CE6537A1-D6FC-4f65-9D91-7224C49458BB}"/>
              </c:extLst>
            </c:dLbl>
            <c:dLbl>
              <c:idx val="4"/>
              <c:layout>
                <c:manualLayout>
                  <c:x val="6.6115702479338893E-3"/>
                  <c:y val="-0.12421853984669824"/>
                </c:manualLayout>
              </c:layout>
              <c:dLblPos val="bestFit"/>
              <c:showLegendKey val="0"/>
              <c:showVal val="0"/>
              <c:showCatName val="1"/>
              <c:showSerName val="0"/>
              <c:showPercent val="1"/>
              <c:showBubbleSize val="0"/>
              <c:separator>
</c:separator>
              <c:extLst>
                <c:ext xmlns:c15="http://schemas.microsoft.com/office/drawing/2012/chart" uri="{CE6537A1-D6FC-4f65-9D91-7224C49458BB}"/>
              </c:extLst>
            </c:dLbl>
            <c:dLbl>
              <c:idx val="5"/>
              <c:layout>
                <c:manualLayout>
                  <c:x val="-6.6502331836619924E-2"/>
                  <c:y val="-0.1187649678118598"/>
                </c:manualLayout>
              </c:layout>
              <c:dLblPos val="bestFit"/>
              <c:showLegendKey val="0"/>
              <c:showVal val="0"/>
              <c:showCatName val="1"/>
              <c:showSerName val="0"/>
              <c:showPercent val="1"/>
              <c:showBubbleSize val="0"/>
              <c:separator>
</c:separator>
              <c:extLst>
                <c:ext xmlns:c15="http://schemas.microsoft.com/office/drawing/2012/chart" uri="{CE6537A1-D6FC-4f65-9D91-7224C49458BB}"/>
              </c:extLst>
            </c:dLbl>
            <c:dLbl>
              <c:idx val="6"/>
              <c:layout>
                <c:manualLayout>
                  <c:x val="-8.906548664888024E-2"/>
                  <c:y val="-2.451756963215419E-2"/>
                </c:manualLayout>
              </c:layout>
              <c:dLblPos val="bestFit"/>
              <c:showLegendKey val="0"/>
              <c:showVal val="0"/>
              <c:showCatName val="1"/>
              <c:showSerName val="0"/>
              <c:showPercent val="1"/>
              <c:showBubbleSize val="0"/>
              <c:separator>
</c:separator>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pl-PL"/>
              </a:p>
            </c:txPr>
            <c:showLegendKey val="0"/>
            <c:showVal val="0"/>
            <c:showCatName val="1"/>
            <c:showSerName val="0"/>
            <c:showPercent val="1"/>
            <c:showBubbleSize val="0"/>
            <c:separator>
</c:separator>
            <c:showLeaderLines val="1"/>
            <c:extLst>
              <c:ext xmlns:c15="http://schemas.microsoft.com/office/drawing/2012/chart" uri="{CE6537A1-D6FC-4f65-9D91-7224C49458BB}"/>
            </c:extLst>
          </c:dLbls>
          <c:cat>
            <c:strRef>
              <c:f>Struktura!$A$86:$A$92</c:f>
              <c:strCache>
                <c:ptCount val="7"/>
                <c:pt idx="0">
                  <c:v>do 1 roku </c:v>
                </c:pt>
                <c:pt idx="1">
                  <c:v> os 1 - 5 lat</c:v>
                </c:pt>
                <c:pt idx="2">
                  <c:v>5 - 10 lat</c:v>
                </c:pt>
                <c:pt idx="3">
                  <c:v>10 - 20 lat</c:v>
                </c:pt>
                <c:pt idx="4">
                  <c:v>20 - 30 lat</c:v>
                </c:pt>
                <c:pt idx="5">
                  <c:v>30 i więcej</c:v>
                </c:pt>
                <c:pt idx="6">
                  <c:v>bez stażu</c:v>
                </c:pt>
              </c:strCache>
            </c:strRef>
          </c:cat>
          <c:val>
            <c:numRef>
              <c:f>Struktura!$B$86:$B$92</c:f>
              <c:numCache>
                <c:formatCode>General</c:formatCode>
                <c:ptCount val="7"/>
                <c:pt idx="0">
                  <c:v>22853</c:v>
                </c:pt>
                <c:pt idx="1">
                  <c:v>34637</c:v>
                </c:pt>
                <c:pt idx="2">
                  <c:v>22798</c:v>
                </c:pt>
                <c:pt idx="3">
                  <c:v>25977</c:v>
                </c:pt>
                <c:pt idx="4">
                  <c:v>19544</c:v>
                </c:pt>
                <c:pt idx="5">
                  <c:v>7631</c:v>
                </c:pt>
                <c:pt idx="6">
                  <c:v>20118</c:v>
                </c:pt>
              </c:numCache>
            </c:numRef>
          </c:val>
        </c:ser>
        <c:dLbls>
          <c:showLegendKey val="0"/>
          <c:showVal val="1"/>
          <c:showCatName val="0"/>
          <c:showSerName val="0"/>
          <c:showPercent val="0"/>
          <c:showBubbleSize val="0"/>
          <c:showLeaderLines val="1"/>
        </c:dLbls>
      </c:pie3DChart>
      <c:spPr>
        <a:noFill/>
        <a:ln w="25400">
          <a:noFill/>
        </a:ln>
      </c:spPr>
    </c:plotArea>
    <c:plotVisOnly val="1"/>
    <c:dispBlanksAs val="zero"/>
    <c:showDLblsOverMax val="0"/>
  </c:chart>
  <c:spPr>
    <a:solidFill>
      <a:srgbClr val="FFFECE"/>
    </a:solidFill>
    <a:ln w="25400" cap="flat" cmpd="sng" algn="ctr">
      <a:solidFill>
        <a:schemeClr val="dk1"/>
      </a:solidFill>
      <a:prstDash val="solid"/>
    </a:ln>
    <a:effectLst/>
  </c:spPr>
  <c:txPr>
    <a:bodyPr/>
    <a:lstStyle/>
    <a:p>
      <a:pPr>
        <a:defRPr sz="1000" b="0" i="0" u="none" strike="noStrike" baseline="0">
          <a:solidFill>
            <a:srgbClr val="000000"/>
          </a:solidFill>
          <a:latin typeface="Calibri"/>
          <a:ea typeface="Calibri"/>
          <a:cs typeface="Calibri"/>
        </a:defRPr>
      </a:pPr>
      <a:endParaRPr lang="pl-PL"/>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00" b="1" i="0" u="none" strike="noStrike" baseline="0">
                <a:solidFill>
                  <a:srgbClr val="000000"/>
                </a:solidFill>
                <a:latin typeface="Calibri"/>
                <a:ea typeface="Calibri"/>
                <a:cs typeface="Calibri"/>
              </a:defRPr>
            </a:pPr>
            <a:r>
              <a:rPr lang="pl-PL"/>
              <a:t>Struktura zarejestrowanych</a:t>
            </a:r>
            <a:r>
              <a:rPr lang="pl-PL" baseline="0"/>
              <a:t> bezrobotnych </a:t>
            </a:r>
            <a:r>
              <a:rPr lang="pl-PL"/>
              <a:t>wg stanu na 31.XII.2013 r.</a:t>
            </a:r>
          </a:p>
          <a:p>
            <a:pPr>
              <a:defRPr sz="1100" b="1" i="0" u="none" strike="noStrike" baseline="0">
                <a:solidFill>
                  <a:srgbClr val="000000"/>
                </a:solidFill>
                <a:latin typeface="Calibri"/>
                <a:ea typeface="Calibri"/>
                <a:cs typeface="Calibri"/>
              </a:defRPr>
            </a:pPr>
            <a:r>
              <a:rPr lang="pl-PL"/>
              <a:t> w podziale na wielkie grupy zawodowe </a:t>
            </a:r>
          </a:p>
        </c:rich>
      </c:tx>
      <c:layout>
        <c:manualLayout>
          <c:xMode val="edge"/>
          <c:yMode val="edge"/>
          <c:x val="0.13753274868624588"/>
          <c:y val="9.4801706430715747E-3"/>
        </c:manualLayout>
      </c:layout>
      <c:overlay val="0"/>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0.13572947484083386"/>
          <c:y val="0.27656749256929358"/>
          <c:w val="0.71481557561363374"/>
          <c:h val="0.62434656053493498"/>
        </c:manualLayout>
      </c:layout>
      <c:pie3DChart>
        <c:varyColors val="1"/>
        <c:ser>
          <c:idx val="0"/>
          <c:order val="0"/>
          <c:tx>
            <c:v>Zarejestrowani</c:v>
          </c:tx>
          <c:explosion val="22"/>
          <c:dLbls>
            <c:dLbl>
              <c:idx val="0"/>
              <c:layout>
                <c:manualLayout>
                  <c:x val="-4.0891498732150006E-2"/>
                  <c:y val="-0.1081774558556227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1"/>
              <c:layout>
                <c:manualLayout>
                  <c:x val="-5.4410845947962992E-2"/>
                  <c:y val="-3.5039634342680349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2"/>
              <c:layout>
                <c:manualLayout>
                  <c:x val="4.0274292636497358E-2"/>
                  <c:y val="-9.4778075420984764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3"/>
              <c:layout>
                <c:manualLayout>
                  <c:x val="5.8428802168959341E-2"/>
                  <c:y val="-4.7508004798369273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4"/>
              <c:layout>
                <c:manualLayout>
                  <c:x val="0"/>
                  <c:y val="-0.14964219678725801"/>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5"/>
              <c:layout>
                <c:manualLayout>
                  <c:x val="0.10316394845403479"/>
                  <c:y val="7.6633370920552543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6"/>
              <c:layout>
                <c:manualLayout>
                  <c:x val="3.4398548276044785E-2"/>
                  <c:y val="5.5912224808377417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7"/>
              <c:layout>
                <c:manualLayout>
                  <c:x val="1.6616487707877096E-2"/>
                  <c:y val="4.0315494526883933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8"/>
              <c:layout>
                <c:manualLayout>
                  <c:x val="5.0409564189091904E-3"/>
                  <c:y val="0.14027004356414224"/>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9"/>
              <c:layout>
                <c:manualLayout>
                  <c:x val="-9.8155877684078727E-2"/>
                  <c:y val="-4.8359075256996821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10"/>
              <c:layout>
                <c:manualLayout>
                  <c:x val="-3.3046075499453056E-2"/>
                  <c:y val="-3.6448124396821532E-2"/>
                </c:manualLayout>
              </c:layout>
              <c:dLblPos val="bestFit"/>
              <c:showLegendKey val="0"/>
              <c:showVal val="0"/>
              <c:showCatName val="1"/>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0" i="0" u="none" strike="noStrike" baseline="0">
                    <a:solidFill>
                      <a:srgbClr val="000000"/>
                    </a:solidFill>
                    <a:latin typeface="Calibri"/>
                    <a:ea typeface="Calibri"/>
                    <a:cs typeface="Calibri"/>
                  </a:defRPr>
                </a:pPr>
                <a:endParaRPr lang="pl-PL"/>
              </a:p>
            </c:txPr>
            <c:showLegendKey val="0"/>
            <c:showVal val="0"/>
            <c:showCatName val="1"/>
            <c:showSerName val="0"/>
            <c:showPercent val="1"/>
            <c:showBubbleSize val="0"/>
            <c:showLeaderLines val="1"/>
            <c:extLst>
              <c:ext xmlns:c15="http://schemas.microsoft.com/office/drawing/2012/chart" uri="{CE6537A1-D6FC-4f65-9D91-7224C49458BB}"/>
            </c:extLst>
          </c:dLbls>
          <c:cat>
            <c:strRef>
              <c:f>Z3_wielkie!$B$2:$B$12</c:f>
              <c:strCache>
                <c:ptCount val="11"/>
                <c:pt idx="0">
                  <c:v>Siły zbrojne</c:v>
                </c:pt>
                <c:pt idx="1">
                  <c:v>Bez zawodu</c:v>
                </c:pt>
                <c:pt idx="2">
                  <c:v>Przedstawiciele władz publicznych, wyżsi urzędnicy</c:v>
                </c:pt>
                <c:pt idx="3">
                  <c:v>Specjaliści</c:v>
                </c:pt>
                <c:pt idx="4">
                  <c:v>Technicy i inny średni personel</c:v>
                </c:pt>
                <c:pt idx="5">
                  <c:v>Pracownicy biurowi</c:v>
                </c:pt>
                <c:pt idx="6">
                  <c:v>Pracownicy usług i sprzedawcy</c:v>
                </c:pt>
                <c:pt idx="7">
                  <c:v>Rolnicy, ogrodnicy, leśnicy i rybacy</c:v>
                </c:pt>
                <c:pt idx="8">
                  <c:v>Robotnicy przemysłowi i rzemieślnicy</c:v>
                </c:pt>
                <c:pt idx="9">
                  <c:v>Operatorzy i monterzy maszyn i urządzeń</c:v>
                </c:pt>
                <c:pt idx="10">
                  <c:v>Pracownicy przy pracach prostych</c:v>
                </c:pt>
              </c:strCache>
            </c:strRef>
          </c:cat>
          <c:val>
            <c:numRef>
              <c:f>Z3_wielkie!$V$2:$V$12</c:f>
              <c:numCache>
                <c:formatCode>0.0</c:formatCode>
                <c:ptCount val="11"/>
                <c:pt idx="0">
                  <c:v>5.8609776110655265E-2</c:v>
                </c:pt>
                <c:pt idx="1">
                  <c:v>15.508146758879382</c:v>
                </c:pt>
                <c:pt idx="2">
                  <c:v>0.53334896260696285</c:v>
                </c:pt>
                <c:pt idx="3">
                  <c:v>8.1884369423931034</c:v>
                </c:pt>
                <c:pt idx="4">
                  <c:v>11.184047721382148</c:v>
                </c:pt>
                <c:pt idx="5">
                  <c:v>4.2453014496151287</c:v>
                </c:pt>
                <c:pt idx="6">
                  <c:v>17.414918141679365</c:v>
                </c:pt>
                <c:pt idx="7">
                  <c:v>1.9308665129788092</c:v>
                </c:pt>
                <c:pt idx="8">
                  <c:v>25.738157569126972</c:v>
                </c:pt>
                <c:pt idx="9">
                  <c:v>6.0289923025827381</c:v>
                </c:pt>
                <c:pt idx="10">
                  <c:v>9.1691738626447332</c:v>
                </c:pt>
              </c:numCache>
            </c:numRef>
          </c:val>
        </c:ser>
        <c:dLbls>
          <c:showLegendKey val="0"/>
          <c:showVal val="0"/>
          <c:showCatName val="1"/>
          <c:showSerName val="0"/>
          <c:showPercent val="1"/>
          <c:showBubbleSize val="0"/>
          <c:showLeaderLines val="1"/>
        </c:dLbls>
      </c:pie3DChart>
      <c:spPr>
        <a:noFill/>
        <a:ln w="25400">
          <a:noFill/>
        </a:ln>
      </c:spPr>
    </c:plotArea>
    <c:plotVisOnly val="1"/>
    <c:dispBlanksAs val="zero"/>
    <c:showDLblsOverMax val="0"/>
  </c:chart>
  <c:spPr>
    <a:solidFill>
      <a:srgbClr val="FCFDBF"/>
    </a:solidFill>
    <a:ln w="25400" cap="flat" cmpd="sng" algn="ctr">
      <a:solidFill>
        <a:schemeClr val="dk1"/>
      </a:solidFill>
      <a:prstDash val="solid"/>
    </a:ln>
    <a:effectLst/>
  </c:spPr>
  <c:txPr>
    <a:bodyPr/>
    <a:lstStyle/>
    <a:p>
      <a:pPr>
        <a:defRPr sz="1000" b="0" i="0" u="none" strike="noStrike" baseline="0">
          <a:solidFill>
            <a:srgbClr val="000000"/>
          </a:solidFill>
          <a:latin typeface="Calibri"/>
          <a:ea typeface="Calibri"/>
          <a:cs typeface="Calibri"/>
        </a:defRPr>
      </a:pPr>
      <a:endParaRPr lang="pl-PL"/>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0" i="0" u="none" strike="noStrike" baseline="0">
                <a:solidFill>
                  <a:srgbClr val="000000"/>
                </a:solidFill>
                <a:latin typeface="Calibri"/>
                <a:ea typeface="Calibri"/>
                <a:cs typeface="Calibri"/>
              </a:defRPr>
            </a:pPr>
            <a:r>
              <a:rPr lang="pl-PL" sz="1100" b="1" i="0" u="none" strike="noStrike" baseline="0">
                <a:solidFill>
                  <a:srgbClr val="000000"/>
                </a:solidFill>
                <a:latin typeface="Calibri"/>
              </a:rPr>
              <a:t>Bezrobotni zarejestrowani w poszczególnych sekcjach PKD </a:t>
            </a:r>
          </a:p>
          <a:p>
            <a:pPr>
              <a:defRPr sz="1000" b="0" i="0" u="none" strike="noStrike" baseline="0">
                <a:solidFill>
                  <a:srgbClr val="000000"/>
                </a:solidFill>
                <a:latin typeface="Calibri"/>
                <a:ea typeface="Calibri"/>
                <a:cs typeface="Calibri"/>
              </a:defRPr>
            </a:pPr>
            <a:r>
              <a:rPr lang="pl-PL" sz="1100" b="1" i="0" u="none" strike="noStrike" baseline="0">
                <a:solidFill>
                  <a:srgbClr val="000000"/>
                </a:solidFill>
                <a:latin typeface="Calibri"/>
              </a:rPr>
              <a:t>wg stanu na 31.XII.2013 r.</a:t>
            </a:r>
          </a:p>
        </c:rich>
      </c:tx>
      <c:layout>
        <c:manualLayout>
          <c:xMode val="edge"/>
          <c:yMode val="edge"/>
          <c:x val="0.13093044619422686"/>
          <c:y val="0"/>
        </c:manualLayout>
      </c:layout>
      <c:overlay val="1"/>
    </c:title>
    <c:autoTitleDeleted val="0"/>
    <c:plotArea>
      <c:layout>
        <c:manualLayout>
          <c:layoutTarget val="inner"/>
          <c:xMode val="edge"/>
          <c:yMode val="edge"/>
          <c:x val="0.12451618547681614"/>
          <c:y val="8.9219330855018583E-2"/>
          <c:w val="0.81676859142607172"/>
          <c:h val="0.83028285962395953"/>
        </c:manualLayout>
      </c:layout>
      <c:barChart>
        <c:barDir val="bar"/>
        <c:grouping val="clustered"/>
        <c:varyColors val="0"/>
        <c:ser>
          <c:idx val="0"/>
          <c:order val="0"/>
          <c:spPr>
            <a:solidFill>
              <a:srgbClr val="00B050"/>
            </a:solidFill>
          </c:spPr>
          <c:invertIfNegative val="0"/>
          <c:dLbls>
            <c:spPr>
              <a:noFill/>
              <a:ln>
                <a:noFill/>
              </a:ln>
              <a:effectLst/>
            </c:spPr>
            <c:txPr>
              <a:bodyPr/>
              <a:lstStyle/>
              <a:p>
                <a:pPr>
                  <a:defRPr sz="1000" b="1" i="0" u="none" strike="noStrike" baseline="0">
                    <a:solidFill>
                      <a:srgbClr val="000000"/>
                    </a:solidFill>
                    <a:latin typeface="Calibri"/>
                    <a:ea typeface="Calibri"/>
                    <a:cs typeface="Calibri"/>
                  </a:defRPr>
                </a:pPr>
                <a:endParaRPr lang="pl-PL"/>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PKD!$B$68:$B$88</c:f>
              <c:strCache>
                <c:ptCount val="21"/>
                <c:pt idx="0">
                  <c:v>U</c:v>
                </c:pt>
                <c:pt idx="1">
                  <c:v>T</c:v>
                </c:pt>
                <c:pt idx="2">
                  <c:v>D</c:v>
                </c:pt>
                <c:pt idx="3">
                  <c:v>B</c:v>
                </c:pt>
                <c:pt idx="4">
                  <c:v>J</c:v>
                </c:pt>
                <c:pt idx="5">
                  <c:v>E</c:v>
                </c:pt>
                <c:pt idx="6">
                  <c:v>L</c:v>
                </c:pt>
                <c:pt idx="7">
                  <c:v>R</c:v>
                </c:pt>
                <c:pt idx="8">
                  <c:v>K</c:v>
                </c:pt>
                <c:pt idx="9">
                  <c:v>P</c:v>
                </c:pt>
                <c:pt idx="10">
                  <c:v>A</c:v>
                </c:pt>
                <c:pt idx="11">
                  <c:v>I</c:v>
                </c:pt>
                <c:pt idx="12">
                  <c:v>Q</c:v>
                </c:pt>
                <c:pt idx="13">
                  <c:v>M</c:v>
                </c:pt>
                <c:pt idx="14">
                  <c:v>H</c:v>
                </c:pt>
                <c:pt idx="15">
                  <c:v>S</c:v>
                </c:pt>
                <c:pt idx="16">
                  <c:v>O</c:v>
                </c:pt>
                <c:pt idx="17">
                  <c:v>N</c:v>
                </c:pt>
                <c:pt idx="18">
                  <c:v>F</c:v>
                </c:pt>
                <c:pt idx="19">
                  <c:v>G</c:v>
                </c:pt>
                <c:pt idx="20">
                  <c:v>C</c:v>
                </c:pt>
              </c:strCache>
            </c:strRef>
          </c:cat>
          <c:val>
            <c:numRef>
              <c:f>PKD!$D$68:$D$88</c:f>
              <c:numCache>
                <c:formatCode>0</c:formatCode>
                <c:ptCount val="21"/>
                <c:pt idx="0">
                  <c:v>4</c:v>
                </c:pt>
                <c:pt idx="1">
                  <c:v>29</c:v>
                </c:pt>
                <c:pt idx="2">
                  <c:v>334</c:v>
                </c:pt>
                <c:pt idx="3">
                  <c:v>719</c:v>
                </c:pt>
                <c:pt idx="4">
                  <c:v>850</c:v>
                </c:pt>
                <c:pt idx="5">
                  <c:v>1604</c:v>
                </c:pt>
                <c:pt idx="6">
                  <c:v>1665</c:v>
                </c:pt>
                <c:pt idx="7">
                  <c:v>1685</c:v>
                </c:pt>
                <c:pt idx="8">
                  <c:v>1767</c:v>
                </c:pt>
                <c:pt idx="9">
                  <c:v>2918</c:v>
                </c:pt>
                <c:pt idx="10">
                  <c:v>3023</c:v>
                </c:pt>
                <c:pt idx="11">
                  <c:v>3106</c:v>
                </c:pt>
                <c:pt idx="12">
                  <c:v>3321</c:v>
                </c:pt>
                <c:pt idx="13">
                  <c:v>3746</c:v>
                </c:pt>
                <c:pt idx="14">
                  <c:v>4428</c:v>
                </c:pt>
                <c:pt idx="15">
                  <c:v>4482</c:v>
                </c:pt>
                <c:pt idx="16">
                  <c:v>6450</c:v>
                </c:pt>
                <c:pt idx="17">
                  <c:v>9228</c:v>
                </c:pt>
                <c:pt idx="18">
                  <c:v>13110</c:v>
                </c:pt>
                <c:pt idx="19">
                  <c:v>20032</c:v>
                </c:pt>
                <c:pt idx="20">
                  <c:v>24802</c:v>
                </c:pt>
              </c:numCache>
            </c:numRef>
          </c:val>
        </c:ser>
        <c:dLbls>
          <c:showLegendKey val="0"/>
          <c:showVal val="1"/>
          <c:showCatName val="0"/>
          <c:showSerName val="0"/>
          <c:showPercent val="0"/>
          <c:showBubbleSize val="0"/>
        </c:dLbls>
        <c:gapWidth val="150"/>
        <c:axId val="91345664"/>
        <c:axId val="91348992"/>
      </c:barChart>
      <c:catAx>
        <c:axId val="91345664"/>
        <c:scaling>
          <c:orientation val="minMax"/>
        </c:scaling>
        <c:delete val="0"/>
        <c:axPos val="l"/>
        <c:majorGridlines/>
        <c:title>
          <c:tx>
            <c:rich>
              <a:bodyPr/>
              <a:lstStyle/>
              <a:p>
                <a:pPr>
                  <a:defRPr sz="1000" b="1" i="0" u="none" strike="noStrike" baseline="0">
                    <a:solidFill>
                      <a:srgbClr val="000000"/>
                    </a:solidFill>
                    <a:latin typeface="Calibri"/>
                    <a:ea typeface="Calibri"/>
                    <a:cs typeface="Calibri"/>
                  </a:defRPr>
                </a:pPr>
                <a:r>
                  <a:rPr lang="pl-PL"/>
                  <a:t>Sekcje PKD</a:t>
                </a:r>
              </a:p>
            </c:rich>
          </c:tx>
          <c:overlay val="0"/>
        </c:title>
        <c:numFmt formatCode="General" sourceLinked="1"/>
        <c:majorTickMark val="out"/>
        <c:minorTickMark val="none"/>
        <c:tickLblPos val="nextTo"/>
        <c:txPr>
          <a:bodyPr rot="0" vert="horz"/>
          <a:lstStyle/>
          <a:p>
            <a:pPr>
              <a:defRPr sz="1000" b="0" i="0" u="none" strike="noStrike" baseline="0">
                <a:solidFill>
                  <a:srgbClr val="000000"/>
                </a:solidFill>
                <a:latin typeface="Calibri"/>
                <a:ea typeface="Calibri"/>
                <a:cs typeface="Calibri"/>
              </a:defRPr>
            </a:pPr>
            <a:endParaRPr lang="pl-PL"/>
          </a:p>
        </c:txPr>
        <c:crossAx val="91348992"/>
        <c:crosses val="autoZero"/>
        <c:auto val="1"/>
        <c:lblAlgn val="ctr"/>
        <c:lblOffset val="100"/>
        <c:noMultiLvlLbl val="0"/>
      </c:catAx>
      <c:valAx>
        <c:axId val="91348992"/>
        <c:scaling>
          <c:orientation val="minMax"/>
        </c:scaling>
        <c:delete val="0"/>
        <c:axPos val="b"/>
        <c:majorGridlines/>
        <c:title>
          <c:tx>
            <c:rich>
              <a:bodyPr/>
              <a:lstStyle/>
              <a:p>
                <a:pPr>
                  <a:defRPr sz="1000" b="1" i="0" u="none" strike="noStrike" baseline="0">
                    <a:solidFill>
                      <a:srgbClr val="000000"/>
                    </a:solidFill>
                    <a:latin typeface="Calibri"/>
                    <a:ea typeface="Calibri"/>
                    <a:cs typeface="Calibri"/>
                  </a:defRPr>
                </a:pPr>
                <a:r>
                  <a:rPr lang="pl-PL"/>
                  <a:t>Liczba zarejestrowanych bezrobotnych</a:t>
                </a:r>
              </a:p>
            </c:rich>
          </c:tx>
          <c:overlay val="0"/>
        </c:title>
        <c:numFmt formatCode="0" sourceLinked="1"/>
        <c:majorTickMark val="out"/>
        <c:minorTickMark val="none"/>
        <c:tickLblPos val="nextTo"/>
        <c:txPr>
          <a:bodyPr rot="0" vert="horz"/>
          <a:lstStyle/>
          <a:p>
            <a:pPr>
              <a:defRPr sz="1000" b="0" i="0" u="none" strike="noStrike" baseline="0">
                <a:solidFill>
                  <a:srgbClr val="000000"/>
                </a:solidFill>
                <a:latin typeface="Calibri"/>
                <a:ea typeface="Calibri"/>
                <a:cs typeface="Calibri"/>
              </a:defRPr>
            </a:pPr>
            <a:endParaRPr lang="pl-PL"/>
          </a:p>
        </c:txPr>
        <c:crossAx val="91345664"/>
        <c:crosses val="autoZero"/>
        <c:crossBetween val="between"/>
      </c:valAx>
      <c:spPr>
        <a:solidFill>
          <a:srgbClr val="F9FEDA"/>
        </a:solidFill>
      </c:spPr>
    </c:plotArea>
    <c:plotVisOnly val="1"/>
    <c:dispBlanksAs val="gap"/>
    <c:showDLblsOverMax val="0"/>
  </c:chart>
  <c:spPr>
    <a:solidFill>
      <a:schemeClr val="lt1"/>
    </a:solidFill>
    <a:ln w="25400" cap="flat" cmpd="sng" algn="ctr">
      <a:solidFill>
        <a:schemeClr val="dk1"/>
      </a:solidFill>
      <a:prstDash val="solid"/>
    </a:ln>
    <a:effectLst/>
  </c:spPr>
  <c:txPr>
    <a:bodyPr/>
    <a:lstStyle/>
    <a:p>
      <a:pPr>
        <a:defRPr sz="1000" b="0" i="0" u="none" strike="noStrike" baseline="0">
          <a:solidFill>
            <a:srgbClr val="000000"/>
          </a:solidFill>
          <a:latin typeface="Calibri"/>
          <a:ea typeface="Calibri"/>
          <a:cs typeface="Calibri"/>
        </a:defRPr>
      </a:pPr>
      <a:endParaRPr lang="pl-PL"/>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title>
      <c:tx>
        <c:rich>
          <a:bodyPr/>
          <a:lstStyle/>
          <a:p>
            <a:pPr>
              <a:defRPr sz="1100" b="1" i="0" u="none" strike="noStrike" baseline="0">
                <a:solidFill>
                  <a:srgbClr val="000000"/>
                </a:solidFill>
                <a:latin typeface="Calibri"/>
                <a:ea typeface="Calibri"/>
                <a:cs typeface="Calibri"/>
              </a:defRPr>
            </a:pPr>
            <a:r>
              <a:rPr lang="pl-PL"/>
              <a:t>Napływ  bezrobotnych w okresie grudzień 2012 - grudzień 2013, w tym zarejestrowanych po raz pierwszy</a:t>
            </a:r>
          </a:p>
        </c:rich>
      </c:tx>
      <c:overlay val="0"/>
    </c:title>
    <c:autoTitleDeleted val="0"/>
    <c:plotArea>
      <c:layout/>
      <c:lineChart>
        <c:grouping val="standard"/>
        <c:varyColors val="0"/>
        <c:ser>
          <c:idx val="0"/>
          <c:order val="0"/>
          <c:tx>
            <c:strRef>
              <c:f>Napływy_1!$A$3</c:f>
              <c:strCache>
                <c:ptCount val="1"/>
                <c:pt idx="0">
                  <c:v>Liczna bezrobotnych w tys. osób</c:v>
                </c:pt>
              </c:strCache>
            </c:strRef>
          </c:tx>
          <c:dLbls>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pl-PL"/>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Napływy_1!$C$1:$O$1</c:f>
              <c:strCache>
                <c:ptCount val="13"/>
                <c:pt idx="0">
                  <c:v>XII
2012</c:v>
                </c:pt>
                <c:pt idx="1">
                  <c:v>I
2013</c:v>
                </c:pt>
                <c:pt idx="2">
                  <c:v>II
2013</c:v>
                </c:pt>
                <c:pt idx="3">
                  <c:v>III
2013</c:v>
                </c:pt>
                <c:pt idx="4">
                  <c:v>IV
2013</c:v>
                </c:pt>
                <c:pt idx="5">
                  <c:v>V
2013</c:v>
                </c:pt>
                <c:pt idx="6">
                  <c:v>VI
2013</c:v>
                </c:pt>
                <c:pt idx="7">
                  <c:v>VII
2013</c:v>
                </c:pt>
                <c:pt idx="8">
                  <c:v>VIII
2013</c:v>
                </c:pt>
                <c:pt idx="9">
                  <c:v>IX
2013</c:v>
                </c:pt>
                <c:pt idx="10">
                  <c:v>X
2013</c:v>
                </c:pt>
                <c:pt idx="11">
                  <c:v>XI
2013</c:v>
                </c:pt>
                <c:pt idx="12">
                  <c:v>XII
2013</c:v>
                </c:pt>
              </c:strCache>
            </c:strRef>
          </c:cat>
          <c:val>
            <c:numRef>
              <c:f>Napływy_1!$C$3:$O$3</c:f>
              <c:numCache>
                <c:formatCode>0.0</c:formatCode>
                <c:ptCount val="13"/>
                <c:pt idx="0">
                  <c:v>19.824999999999999</c:v>
                </c:pt>
                <c:pt idx="1">
                  <c:v>25.131</c:v>
                </c:pt>
                <c:pt idx="2">
                  <c:v>18.643999999999998</c:v>
                </c:pt>
                <c:pt idx="3">
                  <c:v>17.434999999999999</c:v>
                </c:pt>
                <c:pt idx="4">
                  <c:v>15.938000000000001</c:v>
                </c:pt>
                <c:pt idx="5">
                  <c:v>14.031000000000001</c:v>
                </c:pt>
                <c:pt idx="6">
                  <c:v>14.106</c:v>
                </c:pt>
                <c:pt idx="7">
                  <c:v>18.071000000000002</c:v>
                </c:pt>
                <c:pt idx="8">
                  <c:v>15.946</c:v>
                </c:pt>
                <c:pt idx="9">
                  <c:v>19.364000000000001</c:v>
                </c:pt>
                <c:pt idx="10">
                  <c:v>19.16</c:v>
                </c:pt>
                <c:pt idx="11">
                  <c:v>18.449000000000002</c:v>
                </c:pt>
                <c:pt idx="12">
                  <c:v>18.036999999999999</c:v>
                </c:pt>
              </c:numCache>
            </c:numRef>
          </c:val>
          <c:smooth val="0"/>
        </c:ser>
        <c:ser>
          <c:idx val="1"/>
          <c:order val="1"/>
          <c:tx>
            <c:strRef>
              <c:f>Napływy_1!$A$4</c:f>
              <c:strCache>
                <c:ptCount val="1"/>
                <c:pt idx="0">
                  <c:v>w tym zarejestrowanych po raz pierwszy</c:v>
                </c:pt>
              </c:strCache>
            </c:strRef>
          </c:tx>
          <c:spPr>
            <a:ln>
              <a:solidFill>
                <a:srgbClr val="FF0000"/>
              </a:solidFill>
            </a:ln>
          </c:spPr>
          <c:marker>
            <c:spPr>
              <a:solidFill>
                <a:srgbClr val="FF0000"/>
              </a:solidFill>
              <a:ln>
                <a:solidFill>
                  <a:srgbClr val="FF0000"/>
                </a:solidFill>
              </a:ln>
            </c:spPr>
          </c:marker>
          <c:dLbls>
            <c:numFmt formatCode="#,##0.0" sourceLinked="0"/>
            <c:spPr>
              <a:noFill/>
              <a:ln>
                <a:noFill/>
              </a:ln>
              <a:effectLst/>
            </c:spPr>
            <c:txPr>
              <a:bodyPr wrap="square" lIns="38100" tIns="19050" rIns="38100" bIns="19050" anchor="ctr">
                <a:spAutoFit/>
              </a:bodyPr>
              <a:lstStyle/>
              <a:p>
                <a:pPr>
                  <a:defRPr b="1"/>
                </a:pPr>
                <a:endParaRPr lang="pl-PL"/>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Napływy_1!$C$1:$O$1</c:f>
              <c:strCache>
                <c:ptCount val="13"/>
                <c:pt idx="0">
                  <c:v>XII
2012</c:v>
                </c:pt>
                <c:pt idx="1">
                  <c:v>I
2013</c:v>
                </c:pt>
                <c:pt idx="2">
                  <c:v>II
2013</c:v>
                </c:pt>
                <c:pt idx="3">
                  <c:v>III
2013</c:v>
                </c:pt>
                <c:pt idx="4">
                  <c:v>IV
2013</c:v>
                </c:pt>
                <c:pt idx="5">
                  <c:v>V
2013</c:v>
                </c:pt>
                <c:pt idx="6">
                  <c:v>VI
2013</c:v>
                </c:pt>
                <c:pt idx="7">
                  <c:v>VII
2013</c:v>
                </c:pt>
                <c:pt idx="8">
                  <c:v>VIII
2013</c:v>
                </c:pt>
                <c:pt idx="9">
                  <c:v>IX
2013</c:v>
                </c:pt>
                <c:pt idx="10">
                  <c:v>X
2013</c:v>
                </c:pt>
                <c:pt idx="11">
                  <c:v>XI
2013</c:v>
                </c:pt>
                <c:pt idx="12">
                  <c:v>XII
2013</c:v>
                </c:pt>
              </c:strCache>
            </c:strRef>
          </c:cat>
          <c:val>
            <c:numRef>
              <c:f>Napływy_1!$C$5:$O$5</c:f>
              <c:numCache>
                <c:formatCode>0.0</c:formatCode>
                <c:ptCount val="13"/>
                <c:pt idx="0">
                  <c:v>2.7349999999999999</c:v>
                </c:pt>
                <c:pt idx="1">
                  <c:v>4.3289999999999997</c:v>
                </c:pt>
                <c:pt idx="2">
                  <c:v>3.6030000000000002</c:v>
                </c:pt>
                <c:pt idx="3">
                  <c:v>3.1579999999999999</c:v>
                </c:pt>
                <c:pt idx="4">
                  <c:v>3.0150000000000001</c:v>
                </c:pt>
                <c:pt idx="5">
                  <c:v>3.0289999999999999</c:v>
                </c:pt>
                <c:pt idx="6">
                  <c:v>2.7109999999999999</c:v>
                </c:pt>
                <c:pt idx="7">
                  <c:v>3.5529999999999999</c:v>
                </c:pt>
                <c:pt idx="8">
                  <c:v>3.0219999999999998</c:v>
                </c:pt>
                <c:pt idx="9">
                  <c:v>4.8559999999999999</c:v>
                </c:pt>
                <c:pt idx="10">
                  <c:v>3.8690000000000002</c:v>
                </c:pt>
                <c:pt idx="11">
                  <c:v>2.7669999999999999</c:v>
                </c:pt>
                <c:pt idx="12">
                  <c:v>2.1429999999999998</c:v>
                </c:pt>
              </c:numCache>
            </c:numRef>
          </c:val>
          <c:smooth val="0"/>
        </c:ser>
        <c:dLbls>
          <c:showLegendKey val="0"/>
          <c:showVal val="1"/>
          <c:showCatName val="0"/>
          <c:showSerName val="0"/>
          <c:showPercent val="0"/>
          <c:showBubbleSize val="0"/>
        </c:dLbls>
        <c:marker val="1"/>
        <c:smooth val="0"/>
        <c:axId val="91387008"/>
        <c:axId val="91388544"/>
      </c:lineChart>
      <c:catAx>
        <c:axId val="91387008"/>
        <c:scaling>
          <c:orientation val="minMax"/>
        </c:scaling>
        <c:delete val="0"/>
        <c:axPos val="b"/>
        <c:majorGridlines/>
        <c:numFmt formatCode="General" sourceLinked="1"/>
        <c:majorTickMark val="out"/>
        <c:minorTickMark val="none"/>
        <c:tickLblPos val="nextTo"/>
        <c:txPr>
          <a:bodyPr rot="0" vert="horz"/>
          <a:lstStyle/>
          <a:p>
            <a:pPr>
              <a:defRPr sz="1000" b="1" i="0" u="none" strike="noStrike" baseline="0">
                <a:solidFill>
                  <a:srgbClr val="000000"/>
                </a:solidFill>
                <a:latin typeface="Calibri"/>
                <a:ea typeface="Calibri"/>
                <a:cs typeface="Calibri"/>
              </a:defRPr>
            </a:pPr>
            <a:endParaRPr lang="pl-PL"/>
          </a:p>
        </c:txPr>
        <c:crossAx val="91388544"/>
        <c:crosses val="autoZero"/>
        <c:auto val="1"/>
        <c:lblAlgn val="ctr"/>
        <c:lblOffset val="100"/>
        <c:noMultiLvlLbl val="0"/>
      </c:catAx>
      <c:valAx>
        <c:axId val="91388544"/>
        <c:scaling>
          <c:orientation val="minMax"/>
        </c:scaling>
        <c:delete val="0"/>
        <c:axPos val="l"/>
        <c:majorGridlines/>
        <c:title>
          <c:tx>
            <c:rich>
              <a:bodyPr/>
              <a:lstStyle/>
              <a:p>
                <a:pPr>
                  <a:defRPr sz="1000" b="1" i="0" u="none" strike="noStrike" baseline="0">
                    <a:solidFill>
                      <a:srgbClr val="000000"/>
                    </a:solidFill>
                    <a:latin typeface="Calibri"/>
                    <a:ea typeface="Calibri"/>
                    <a:cs typeface="Calibri"/>
                  </a:defRPr>
                </a:pPr>
                <a:r>
                  <a:rPr lang="pl-PL"/>
                  <a:t>Liczba bezrobotnych (w tys. osób)</a:t>
                </a:r>
              </a:p>
            </c:rich>
          </c:tx>
          <c:overlay val="0"/>
        </c:title>
        <c:numFmt formatCode="0.0" sourceLinked="1"/>
        <c:majorTickMark val="out"/>
        <c:minorTickMark val="none"/>
        <c:tickLblPos val="nextTo"/>
        <c:txPr>
          <a:bodyPr rot="0" vert="horz"/>
          <a:lstStyle/>
          <a:p>
            <a:pPr>
              <a:defRPr sz="1000" b="1" i="0" u="none" strike="noStrike" baseline="0">
                <a:solidFill>
                  <a:srgbClr val="000000"/>
                </a:solidFill>
                <a:latin typeface="Calibri"/>
                <a:ea typeface="Calibri"/>
                <a:cs typeface="Calibri"/>
              </a:defRPr>
            </a:pPr>
            <a:endParaRPr lang="pl-PL"/>
          </a:p>
        </c:txPr>
        <c:crossAx val="91387008"/>
        <c:crosses val="autoZero"/>
        <c:crossBetween val="between"/>
      </c:valAx>
      <c:spPr>
        <a:solidFill>
          <a:srgbClr val="FFFFCC"/>
        </a:solidFill>
      </c:spPr>
    </c:plotArea>
    <c:legend>
      <c:legendPos val="b"/>
      <c:overlay val="0"/>
    </c:legend>
    <c:plotVisOnly val="1"/>
    <c:dispBlanksAs val="zero"/>
    <c:showDLblsOverMax val="0"/>
  </c:chart>
  <c:spPr>
    <a:solidFill>
      <a:srgbClr val="FFFFCC"/>
    </a:solidFill>
    <a:ln w="25400" cap="flat" cmpd="sng" algn="ctr">
      <a:solidFill>
        <a:schemeClr val="dk1"/>
      </a:solidFill>
      <a:prstDash val="solid"/>
    </a:ln>
    <a:effectLst/>
  </c:spPr>
  <c:txPr>
    <a:bodyPr/>
    <a:lstStyle/>
    <a:p>
      <a:pPr>
        <a:defRPr sz="1000" b="0" i="0" u="none" strike="noStrike" baseline="0">
          <a:solidFill>
            <a:srgbClr val="000000"/>
          </a:solidFill>
          <a:latin typeface="Calibri"/>
          <a:ea typeface="Calibri"/>
          <a:cs typeface="Calibri"/>
        </a:defRPr>
      </a:pPr>
      <a:endParaRPr lang="pl-PL"/>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0" i="0" u="none" strike="noStrike" baseline="0">
                <a:solidFill>
                  <a:srgbClr val="000000"/>
                </a:solidFill>
                <a:latin typeface="Calibri"/>
                <a:ea typeface="Calibri"/>
                <a:cs typeface="Calibri"/>
              </a:defRPr>
            </a:pPr>
            <a:r>
              <a:rPr lang="pl-PL" sz="1100" b="1" i="0" u="none" strike="noStrike" baseline="0">
                <a:solidFill>
                  <a:srgbClr val="000000"/>
                </a:solidFill>
                <a:latin typeface="Calibri"/>
              </a:rPr>
              <a:t>Odpływ bezrobotnych ogółem, w tym z tytułu podjęcia pracy</a:t>
            </a:r>
          </a:p>
          <a:p>
            <a:pPr>
              <a:defRPr sz="1000" b="0" i="0" u="none" strike="noStrike" baseline="0">
                <a:solidFill>
                  <a:srgbClr val="000000"/>
                </a:solidFill>
                <a:latin typeface="Calibri"/>
                <a:ea typeface="Calibri"/>
                <a:cs typeface="Calibri"/>
              </a:defRPr>
            </a:pPr>
            <a:r>
              <a:rPr lang="pl-PL" sz="1100" b="1" i="0" u="none" strike="noStrike" baseline="0">
                <a:solidFill>
                  <a:srgbClr val="000000"/>
                </a:solidFill>
                <a:latin typeface="Calibri"/>
              </a:rPr>
              <a:t> w województwie dolnośląskim </a:t>
            </a:r>
          </a:p>
          <a:p>
            <a:pPr>
              <a:defRPr sz="1000" b="0" i="0" u="none" strike="noStrike" baseline="0">
                <a:solidFill>
                  <a:srgbClr val="000000"/>
                </a:solidFill>
                <a:latin typeface="Calibri"/>
                <a:ea typeface="Calibri"/>
                <a:cs typeface="Calibri"/>
              </a:defRPr>
            </a:pPr>
            <a:r>
              <a:rPr lang="pl-PL" sz="1100" b="1" i="0" u="none" strike="noStrike" baseline="0">
                <a:solidFill>
                  <a:srgbClr val="000000"/>
                </a:solidFill>
                <a:latin typeface="Calibri"/>
              </a:rPr>
              <a:t>w okresie grudzień 2012 r.  - grudzień 2013 r.</a:t>
            </a:r>
          </a:p>
        </c:rich>
      </c:tx>
      <c:overlay val="0"/>
    </c:title>
    <c:autoTitleDeleted val="0"/>
    <c:plotArea>
      <c:layout>
        <c:manualLayout>
          <c:layoutTarget val="inner"/>
          <c:xMode val="edge"/>
          <c:yMode val="edge"/>
          <c:x val="0.13482698908198609"/>
          <c:y val="0.17616192206743447"/>
          <c:w val="0.84424668809890002"/>
          <c:h val="0.63391303250555608"/>
        </c:manualLayout>
      </c:layout>
      <c:lineChart>
        <c:grouping val="standard"/>
        <c:varyColors val="0"/>
        <c:ser>
          <c:idx val="0"/>
          <c:order val="0"/>
          <c:tx>
            <c:strRef>
              <c:f>Odpływy!$A$3</c:f>
              <c:strCache>
                <c:ptCount val="1"/>
                <c:pt idx="0">
                  <c:v>Odpływ bezrobotnych w tys. osób</c:v>
                </c:pt>
              </c:strCache>
            </c:strRef>
          </c:tx>
          <c:dLbls>
            <c:spPr>
              <a:noFill/>
              <a:ln>
                <a:noFill/>
              </a:ln>
              <a:effectLst/>
            </c:spPr>
            <c:txPr>
              <a:bodyPr/>
              <a:lstStyle/>
              <a:p>
                <a:pPr>
                  <a:defRPr sz="1000" b="1" i="0" u="none" strike="noStrike" baseline="0">
                    <a:solidFill>
                      <a:srgbClr val="000000"/>
                    </a:solidFill>
                    <a:latin typeface="Calibri"/>
                    <a:ea typeface="Calibri"/>
                    <a:cs typeface="Calibri"/>
                  </a:defRPr>
                </a:pPr>
                <a:endParaRPr lang="pl-PL"/>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Odpływy!$E$1:$Q$1</c:f>
              <c:strCache>
                <c:ptCount val="13"/>
                <c:pt idx="0">
                  <c:v>XII
2012</c:v>
                </c:pt>
                <c:pt idx="1">
                  <c:v>I
2013</c:v>
                </c:pt>
                <c:pt idx="2">
                  <c:v>II
2013</c:v>
                </c:pt>
                <c:pt idx="3">
                  <c:v>III
2013</c:v>
                </c:pt>
                <c:pt idx="4">
                  <c:v>IV
2013</c:v>
                </c:pt>
                <c:pt idx="5">
                  <c:v>V
2013</c:v>
                </c:pt>
                <c:pt idx="6">
                  <c:v>VI
2013</c:v>
                </c:pt>
                <c:pt idx="7">
                  <c:v>VII
2013</c:v>
                </c:pt>
                <c:pt idx="8">
                  <c:v>VIII
2013</c:v>
                </c:pt>
                <c:pt idx="9">
                  <c:v>IX
2013</c:v>
                </c:pt>
                <c:pt idx="10">
                  <c:v>X
2013</c:v>
                </c:pt>
                <c:pt idx="11">
                  <c:v>XI
2013</c:v>
                </c:pt>
                <c:pt idx="12">
                  <c:v>XII
2013</c:v>
                </c:pt>
              </c:strCache>
            </c:strRef>
          </c:cat>
          <c:val>
            <c:numRef>
              <c:f>Odpływy!$E$3:$Q$3</c:f>
              <c:numCache>
                <c:formatCode>0.0</c:formatCode>
                <c:ptCount val="13"/>
                <c:pt idx="0">
                  <c:v>13.727</c:v>
                </c:pt>
                <c:pt idx="1">
                  <c:v>13.497</c:v>
                </c:pt>
                <c:pt idx="2">
                  <c:v>14.927</c:v>
                </c:pt>
                <c:pt idx="3">
                  <c:v>19.149999999999999</c:v>
                </c:pt>
                <c:pt idx="4">
                  <c:v>20.629000000000001</c:v>
                </c:pt>
                <c:pt idx="5">
                  <c:v>21.288</c:v>
                </c:pt>
                <c:pt idx="6">
                  <c:v>19.747</c:v>
                </c:pt>
                <c:pt idx="7">
                  <c:v>20.388000000000002</c:v>
                </c:pt>
                <c:pt idx="8">
                  <c:v>17.324999999999999</c:v>
                </c:pt>
                <c:pt idx="9">
                  <c:v>20.245000000000001</c:v>
                </c:pt>
                <c:pt idx="10">
                  <c:v>20.024000000000001</c:v>
                </c:pt>
                <c:pt idx="11">
                  <c:v>15.538</c:v>
                </c:pt>
                <c:pt idx="12">
                  <c:v>15.365</c:v>
                </c:pt>
              </c:numCache>
            </c:numRef>
          </c:val>
          <c:smooth val="0"/>
        </c:ser>
        <c:ser>
          <c:idx val="1"/>
          <c:order val="1"/>
          <c:tx>
            <c:strRef>
              <c:f>Odpływy!$A$4</c:f>
              <c:strCache>
                <c:ptCount val="1"/>
                <c:pt idx="0">
                  <c:v>Podjęcia pracy</c:v>
                </c:pt>
              </c:strCache>
            </c:strRef>
          </c:tx>
          <c:spPr>
            <a:ln w="25400">
              <a:solidFill>
                <a:srgbClr val="FF0000"/>
              </a:solidFill>
              <a:prstDash val="solid"/>
            </a:ln>
          </c:spPr>
          <c:marker>
            <c:spPr>
              <a:solidFill>
                <a:srgbClr val="FF0000"/>
              </a:solidFill>
              <a:ln>
                <a:solidFill>
                  <a:srgbClr val="FF0000"/>
                </a:solidFill>
              </a:ln>
            </c:spPr>
          </c:marker>
          <c:dLbls>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pl-PL"/>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Odpływy!$E$1:$Q$1</c:f>
              <c:strCache>
                <c:ptCount val="13"/>
                <c:pt idx="0">
                  <c:v>XII
2012</c:v>
                </c:pt>
                <c:pt idx="1">
                  <c:v>I
2013</c:v>
                </c:pt>
                <c:pt idx="2">
                  <c:v>II
2013</c:v>
                </c:pt>
                <c:pt idx="3">
                  <c:v>III
2013</c:v>
                </c:pt>
                <c:pt idx="4">
                  <c:v>IV
2013</c:v>
                </c:pt>
                <c:pt idx="5">
                  <c:v>V
2013</c:v>
                </c:pt>
                <c:pt idx="6">
                  <c:v>VI
2013</c:v>
                </c:pt>
                <c:pt idx="7">
                  <c:v>VII
2013</c:v>
                </c:pt>
                <c:pt idx="8">
                  <c:v>VIII
2013</c:v>
                </c:pt>
                <c:pt idx="9">
                  <c:v>IX
2013</c:v>
                </c:pt>
                <c:pt idx="10">
                  <c:v>X
2013</c:v>
                </c:pt>
                <c:pt idx="11">
                  <c:v>XI
2013</c:v>
                </c:pt>
                <c:pt idx="12">
                  <c:v>XII
2013</c:v>
                </c:pt>
              </c:strCache>
            </c:strRef>
          </c:cat>
          <c:val>
            <c:numRef>
              <c:f>Odpływy!$E$5:$Q$5</c:f>
              <c:numCache>
                <c:formatCode>0.0</c:formatCode>
                <c:ptCount val="13"/>
                <c:pt idx="0">
                  <c:v>6.7</c:v>
                </c:pt>
                <c:pt idx="1">
                  <c:v>6.407</c:v>
                </c:pt>
                <c:pt idx="2">
                  <c:v>6.3079999999999998</c:v>
                </c:pt>
                <c:pt idx="3">
                  <c:v>8</c:v>
                </c:pt>
                <c:pt idx="4">
                  <c:v>9</c:v>
                </c:pt>
                <c:pt idx="5">
                  <c:v>9.5459999999999994</c:v>
                </c:pt>
                <c:pt idx="6">
                  <c:v>8.6839999999999993</c:v>
                </c:pt>
                <c:pt idx="7">
                  <c:v>8.7629999999999999</c:v>
                </c:pt>
                <c:pt idx="8">
                  <c:v>7.7089999999999996</c:v>
                </c:pt>
                <c:pt idx="9">
                  <c:v>10.351000000000001</c:v>
                </c:pt>
                <c:pt idx="10">
                  <c:v>9.6880000000000006</c:v>
                </c:pt>
                <c:pt idx="11">
                  <c:v>7.9459999999999997</c:v>
                </c:pt>
                <c:pt idx="12">
                  <c:v>7.9160000000000004</c:v>
                </c:pt>
              </c:numCache>
            </c:numRef>
          </c:val>
          <c:smooth val="0"/>
        </c:ser>
        <c:dLbls>
          <c:showLegendKey val="0"/>
          <c:showVal val="1"/>
          <c:showCatName val="0"/>
          <c:showSerName val="0"/>
          <c:showPercent val="0"/>
          <c:showBubbleSize val="0"/>
        </c:dLbls>
        <c:marker val="1"/>
        <c:smooth val="0"/>
        <c:axId val="91693824"/>
        <c:axId val="91695360"/>
      </c:lineChart>
      <c:catAx>
        <c:axId val="91693824"/>
        <c:scaling>
          <c:orientation val="minMax"/>
        </c:scaling>
        <c:delete val="0"/>
        <c:axPos val="b"/>
        <c:majorGridlines/>
        <c:numFmt formatCode="General" sourceLinked="1"/>
        <c:majorTickMark val="out"/>
        <c:minorTickMark val="none"/>
        <c:tickLblPos val="nextTo"/>
        <c:txPr>
          <a:bodyPr rot="0" vert="horz"/>
          <a:lstStyle/>
          <a:p>
            <a:pPr>
              <a:defRPr sz="1000" b="1" i="0" u="none" strike="noStrike" baseline="0">
                <a:solidFill>
                  <a:srgbClr val="000000"/>
                </a:solidFill>
                <a:latin typeface="Calibri"/>
                <a:ea typeface="Calibri"/>
                <a:cs typeface="Calibri"/>
              </a:defRPr>
            </a:pPr>
            <a:endParaRPr lang="pl-PL"/>
          </a:p>
        </c:txPr>
        <c:crossAx val="91695360"/>
        <c:crosses val="autoZero"/>
        <c:auto val="1"/>
        <c:lblAlgn val="ctr"/>
        <c:lblOffset val="100"/>
        <c:noMultiLvlLbl val="0"/>
      </c:catAx>
      <c:valAx>
        <c:axId val="91695360"/>
        <c:scaling>
          <c:orientation val="minMax"/>
        </c:scaling>
        <c:delete val="0"/>
        <c:axPos val="l"/>
        <c:majorGridlines/>
        <c:title>
          <c:tx>
            <c:rich>
              <a:bodyPr/>
              <a:lstStyle/>
              <a:p>
                <a:pPr>
                  <a:defRPr sz="1000" b="1" i="0" u="none" strike="noStrike" baseline="0">
                    <a:solidFill>
                      <a:srgbClr val="000000"/>
                    </a:solidFill>
                    <a:latin typeface="Calibri"/>
                    <a:ea typeface="Calibri"/>
                    <a:cs typeface="Calibri"/>
                  </a:defRPr>
                </a:pPr>
                <a:r>
                  <a:rPr lang="pl-PL"/>
                  <a:t>Liczba osób w tys.</a:t>
                </a:r>
              </a:p>
            </c:rich>
          </c:tx>
          <c:overlay val="0"/>
        </c:title>
        <c:numFmt formatCode="0.0" sourceLinked="1"/>
        <c:majorTickMark val="out"/>
        <c:minorTickMark val="none"/>
        <c:tickLblPos val="nextTo"/>
        <c:txPr>
          <a:bodyPr rot="0" vert="horz"/>
          <a:lstStyle/>
          <a:p>
            <a:pPr>
              <a:defRPr sz="1000" b="0" i="0" u="none" strike="noStrike" baseline="0">
                <a:solidFill>
                  <a:srgbClr val="000000"/>
                </a:solidFill>
                <a:latin typeface="Calibri"/>
                <a:ea typeface="Calibri"/>
                <a:cs typeface="Calibri"/>
              </a:defRPr>
            </a:pPr>
            <a:endParaRPr lang="pl-PL"/>
          </a:p>
        </c:txPr>
        <c:crossAx val="91693824"/>
        <c:crosses val="autoZero"/>
        <c:crossBetween val="between"/>
      </c:valAx>
      <c:spPr>
        <a:solidFill>
          <a:srgbClr val="FFFFCC"/>
        </a:solidFill>
      </c:spPr>
    </c:plotArea>
    <c:legend>
      <c:legendPos val="r"/>
      <c:layout>
        <c:manualLayout>
          <c:xMode val="edge"/>
          <c:yMode val="edge"/>
          <c:x val="0.1438721883902444"/>
          <c:y val="0.93007213259181765"/>
          <c:w val="0.71580811019312562"/>
          <c:h val="5.1282051282051211E-2"/>
        </c:manualLayout>
      </c:layout>
      <c:overlay val="0"/>
      <c:txPr>
        <a:bodyPr/>
        <a:lstStyle/>
        <a:p>
          <a:pPr>
            <a:defRPr sz="710" b="0" i="0" u="none" strike="noStrike" baseline="0">
              <a:solidFill>
                <a:srgbClr val="000000"/>
              </a:solidFill>
              <a:latin typeface="Calibri"/>
              <a:ea typeface="Calibri"/>
              <a:cs typeface="Calibri"/>
            </a:defRPr>
          </a:pPr>
          <a:endParaRPr lang="pl-PL"/>
        </a:p>
      </c:txPr>
    </c:legend>
    <c:plotVisOnly val="1"/>
    <c:dispBlanksAs val="gap"/>
    <c:showDLblsOverMax val="0"/>
  </c:chart>
  <c:spPr>
    <a:solidFill>
      <a:srgbClr val="FFFFCC"/>
    </a:solidFill>
    <a:ln w="25400" cap="flat" cmpd="sng" algn="ctr">
      <a:solidFill>
        <a:schemeClr val="dk1"/>
      </a:solidFill>
      <a:prstDash val="solid"/>
    </a:ln>
    <a:effectLst/>
  </c:spPr>
  <c:txPr>
    <a:bodyPr/>
    <a:lstStyle/>
    <a:p>
      <a:pPr>
        <a:defRPr sz="1000" b="0" i="0" u="none" strike="noStrike" baseline="0">
          <a:solidFill>
            <a:srgbClr val="000000"/>
          </a:solidFill>
          <a:latin typeface="Calibri"/>
          <a:ea typeface="Calibri"/>
          <a:cs typeface="Calibri"/>
        </a:defRPr>
      </a:pPr>
      <a:endParaRPr lang="pl-PL"/>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00" b="1" i="0" u="none" strike="noStrike" baseline="0">
                <a:solidFill>
                  <a:srgbClr val="000000"/>
                </a:solidFill>
                <a:latin typeface="Calibri"/>
                <a:ea typeface="Calibri"/>
                <a:cs typeface="Calibri"/>
              </a:defRPr>
            </a:pPr>
            <a:r>
              <a:rPr lang="pl-PL"/>
              <a:t>Struktura napływu bezrobotnych  w  2013 r. w podziale </a:t>
            </a:r>
          </a:p>
          <a:p>
            <a:pPr>
              <a:defRPr sz="1100" b="1" i="0" u="none" strike="noStrike" baseline="0">
                <a:solidFill>
                  <a:srgbClr val="000000"/>
                </a:solidFill>
                <a:latin typeface="Calibri"/>
                <a:ea typeface="Calibri"/>
                <a:cs typeface="Calibri"/>
              </a:defRPr>
            </a:pPr>
            <a:r>
              <a:rPr lang="pl-PL"/>
              <a:t>na wielkie grupy zawodowe </a:t>
            </a:r>
          </a:p>
        </c:rich>
      </c:tx>
      <c:layout>
        <c:manualLayout>
          <c:xMode val="edge"/>
          <c:yMode val="edge"/>
          <c:x val="0.21549744650363353"/>
          <c:y val="5.5555555555555552E-2"/>
        </c:manualLayout>
      </c:layout>
      <c:overlay val="0"/>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0.13572947484083386"/>
          <c:y val="0.27656749256929358"/>
          <c:w val="0.71481557561363374"/>
          <c:h val="0.62434656053493498"/>
        </c:manualLayout>
      </c:layout>
      <c:pie3DChart>
        <c:varyColors val="1"/>
        <c:ser>
          <c:idx val="0"/>
          <c:order val="0"/>
          <c:tx>
            <c:v>naplyw bezrobotnych</c:v>
          </c:tx>
          <c:explosion val="22"/>
          <c:dLbls>
            <c:dLbl>
              <c:idx val="0"/>
              <c:layout>
                <c:manualLayout>
                  <c:x val="3.2516148247426517E-3"/>
                  <c:y val="-5.6495345084052705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1"/>
              <c:layout>
                <c:manualLayout>
                  <c:x val="-3.3134342249771881E-2"/>
                  <c:y val="-8.1720911800685747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2"/>
              <c:layout>
                <c:manualLayout>
                  <c:x val="1.6173191117067814E-2"/>
                  <c:y val="-0.13560422015081813"/>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3"/>
              <c:layout>
                <c:manualLayout>
                  <c:x val="0"/>
                  <c:y val="-2.6889267707516169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4"/>
              <c:layout>
                <c:manualLayout>
                  <c:x val="0"/>
                  <c:y val="7.0289255080228374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5"/>
              <c:layout>
                <c:manualLayout>
                  <c:x val="0.10316394845403479"/>
                  <c:y val="7.6633370920552543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6"/>
              <c:layout>
                <c:manualLayout>
                  <c:x val="0.11015608844348997"/>
                  <c:y val="2.6685517178183151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7"/>
              <c:layout>
                <c:manualLayout>
                  <c:x val="9.7202561218309239E-2"/>
                  <c:y val="0.12278972860351255"/>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8"/>
              <c:layout>
                <c:manualLayout>
                  <c:x val="1.053531770067203E-2"/>
                  <c:y val="0.21358046739003053"/>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9"/>
              <c:layout>
                <c:manualLayout>
                  <c:x val="-6.7151393309878821E-2"/>
                  <c:y val="-5.9362612496195087E-2"/>
                </c:manualLayout>
              </c:layout>
              <c:dLblPos val="bestFit"/>
              <c:showLegendKey val="0"/>
              <c:showVal val="0"/>
              <c:showCatName val="1"/>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800" b="0" i="0" u="none" strike="noStrike" baseline="0">
                    <a:solidFill>
                      <a:srgbClr val="000000"/>
                    </a:solidFill>
                    <a:latin typeface="Calibri"/>
                    <a:ea typeface="Calibri"/>
                    <a:cs typeface="Calibri"/>
                  </a:defRPr>
                </a:pPr>
                <a:endParaRPr lang="pl-PL"/>
              </a:p>
            </c:txPr>
            <c:showLegendKey val="0"/>
            <c:showVal val="0"/>
            <c:showCatName val="1"/>
            <c:showSerName val="0"/>
            <c:showPercent val="1"/>
            <c:showBubbleSize val="0"/>
            <c:showLeaderLines val="1"/>
            <c:extLst>
              <c:ext xmlns:c15="http://schemas.microsoft.com/office/drawing/2012/chart" uri="{CE6537A1-D6FC-4f65-9D91-7224C49458BB}"/>
            </c:extLst>
          </c:dLbls>
          <c:cat>
            <c:strRef>
              <c:f>'Z3_wielkie rok'!$B$2:$B$12</c:f>
              <c:strCache>
                <c:ptCount val="11"/>
                <c:pt idx="0">
                  <c:v>Siły zbrojne</c:v>
                </c:pt>
                <c:pt idx="1">
                  <c:v>Bez zawodu</c:v>
                </c:pt>
                <c:pt idx="2">
                  <c:v>Przedstawiciele władz publicznych, wyżsi urzędnicy</c:v>
                </c:pt>
                <c:pt idx="3">
                  <c:v>Specjaliści</c:v>
                </c:pt>
                <c:pt idx="4">
                  <c:v>Technicy i inny średni personel</c:v>
                </c:pt>
                <c:pt idx="5">
                  <c:v>Pracownicy biurowi</c:v>
                </c:pt>
                <c:pt idx="6">
                  <c:v>Pracownicy usług i sprzedawcy</c:v>
                </c:pt>
                <c:pt idx="7">
                  <c:v>Rolnicy, ogrodnicy, leśnicy i rybacy</c:v>
                </c:pt>
                <c:pt idx="8">
                  <c:v>Robotnicy przemysłowi i rzemieślnicy</c:v>
                </c:pt>
                <c:pt idx="9">
                  <c:v>Operatorzy i monterzy maszyn i urządzeń</c:v>
                </c:pt>
                <c:pt idx="10">
                  <c:v>Pracownicy przy pracach prostych</c:v>
                </c:pt>
              </c:strCache>
            </c:strRef>
          </c:cat>
          <c:val>
            <c:numRef>
              <c:f>'Z3_wielkie rok'!$U$2:$U$12</c:f>
              <c:numCache>
                <c:formatCode>0.0</c:formatCode>
                <c:ptCount val="11"/>
                <c:pt idx="0">
                  <c:v>6.5325320094068454E-2</c:v>
                </c:pt>
                <c:pt idx="1">
                  <c:v>18.053118817425062</c:v>
                </c:pt>
                <c:pt idx="2">
                  <c:v>0.54779946993168838</c:v>
                </c:pt>
                <c:pt idx="3">
                  <c:v>10.026970025010264</c:v>
                </c:pt>
                <c:pt idx="4">
                  <c:v>11.264884840792863</c:v>
                </c:pt>
                <c:pt idx="5">
                  <c:v>4.4803837395946093</c:v>
                </c:pt>
                <c:pt idx="6">
                  <c:v>16.473179290007092</c:v>
                </c:pt>
                <c:pt idx="7">
                  <c:v>1.3797640822725745</c:v>
                </c:pt>
                <c:pt idx="8">
                  <c:v>23.563309567359735</c:v>
                </c:pt>
                <c:pt idx="9">
                  <c:v>5.7775579528911116</c:v>
                </c:pt>
                <c:pt idx="10">
                  <c:v>8.3677068946209268</c:v>
                </c:pt>
              </c:numCache>
            </c:numRef>
          </c:val>
        </c:ser>
        <c:dLbls>
          <c:showLegendKey val="0"/>
          <c:showVal val="0"/>
          <c:showCatName val="1"/>
          <c:showSerName val="0"/>
          <c:showPercent val="1"/>
          <c:showBubbleSize val="0"/>
          <c:showLeaderLines val="1"/>
        </c:dLbls>
      </c:pie3DChart>
      <c:spPr>
        <a:noFill/>
        <a:ln w="25400">
          <a:noFill/>
        </a:ln>
      </c:spPr>
    </c:plotArea>
    <c:plotVisOnly val="1"/>
    <c:dispBlanksAs val="zero"/>
    <c:showDLblsOverMax val="0"/>
  </c:chart>
  <c:spPr>
    <a:solidFill>
      <a:srgbClr val="FCFDBF"/>
    </a:solidFill>
    <a:ln w="25400" cap="flat" cmpd="sng" algn="ctr">
      <a:solidFill>
        <a:schemeClr val="dk1"/>
      </a:solidFill>
      <a:prstDash val="solid"/>
    </a:ln>
    <a:effectLst/>
  </c:spPr>
  <c:txPr>
    <a:bodyPr/>
    <a:lstStyle/>
    <a:p>
      <a:pPr>
        <a:defRPr sz="1000" b="0" i="0" u="none" strike="noStrike" baseline="0">
          <a:solidFill>
            <a:srgbClr val="000000"/>
          </a:solidFill>
          <a:latin typeface="Calibri"/>
          <a:ea typeface="Calibri"/>
          <a:cs typeface="Calibri"/>
        </a:defRPr>
      </a:pPr>
      <a:endParaRPr lang="pl-PL"/>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0" i="0" u="none" strike="noStrike" baseline="0">
                <a:solidFill>
                  <a:srgbClr val="000000"/>
                </a:solidFill>
                <a:latin typeface="Calibri"/>
                <a:ea typeface="Calibri"/>
                <a:cs typeface="Calibri"/>
              </a:defRPr>
            </a:pPr>
            <a:r>
              <a:rPr lang="pl-PL" sz="1100" b="1" i="0" u="none" strike="noStrike" baseline="0">
                <a:solidFill>
                  <a:srgbClr val="000000"/>
                </a:solidFill>
                <a:latin typeface="Calibri"/>
              </a:rPr>
              <a:t>Napływ bezrobotnych w poszczególnych sekcjach PKD w 2013 r.</a:t>
            </a:r>
          </a:p>
        </c:rich>
      </c:tx>
      <c:layout>
        <c:manualLayout>
          <c:xMode val="edge"/>
          <c:yMode val="edge"/>
          <c:x val="8.6486001749781272E-2"/>
          <c:y val="1.1716461628588167E-2"/>
        </c:manualLayout>
      </c:layout>
      <c:overlay val="1"/>
    </c:title>
    <c:autoTitleDeleted val="0"/>
    <c:plotArea>
      <c:layout>
        <c:manualLayout>
          <c:layoutTarget val="inner"/>
          <c:xMode val="edge"/>
          <c:yMode val="edge"/>
          <c:x val="0.12451618547681609"/>
          <c:y val="8.9219330855018583E-2"/>
          <c:w val="0.81676859142607172"/>
          <c:h val="0.83028285962395953"/>
        </c:manualLayout>
      </c:layout>
      <c:barChart>
        <c:barDir val="bar"/>
        <c:grouping val="clustered"/>
        <c:varyColors val="0"/>
        <c:ser>
          <c:idx val="0"/>
          <c:order val="0"/>
          <c:spPr>
            <a:solidFill>
              <a:srgbClr val="00B050"/>
            </a:solidFill>
          </c:spPr>
          <c:invertIfNegative val="0"/>
          <c:dLbls>
            <c:spPr>
              <a:noFill/>
              <a:ln>
                <a:noFill/>
              </a:ln>
              <a:effectLst/>
            </c:spPr>
            <c:txPr>
              <a:bodyPr/>
              <a:lstStyle/>
              <a:p>
                <a:pPr>
                  <a:defRPr sz="1000" b="1" i="0" u="none" strike="noStrike" baseline="0">
                    <a:solidFill>
                      <a:srgbClr val="000000"/>
                    </a:solidFill>
                    <a:latin typeface="Calibri"/>
                    <a:ea typeface="Calibri"/>
                    <a:cs typeface="Calibri"/>
                  </a:defRPr>
                </a:pPr>
                <a:endParaRPr lang="pl-PL"/>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'PKD rok'!$B$38:$B$58</c:f>
              <c:strCache>
                <c:ptCount val="21"/>
                <c:pt idx="0">
                  <c:v>U</c:v>
                </c:pt>
                <c:pt idx="1">
                  <c:v>T</c:v>
                </c:pt>
                <c:pt idx="2">
                  <c:v>D</c:v>
                </c:pt>
                <c:pt idx="3">
                  <c:v>B</c:v>
                </c:pt>
                <c:pt idx="4">
                  <c:v>J</c:v>
                </c:pt>
                <c:pt idx="5">
                  <c:v>L</c:v>
                </c:pt>
                <c:pt idx="6">
                  <c:v>E</c:v>
                </c:pt>
                <c:pt idx="7">
                  <c:v>R</c:v>
                </c:pt>
                <c:pt idx="8">
                  <c:v>K</c:v>
                </c:pt>
                <c:pt idx="9">
                  <c:v>A</c:v>
                </c:pt>
                <c:pt idx="10">
                  <c:v>P</c:v>
                </c:pt>
                <c:pt idx="11">
                  <c:v>Q</c:v>
                </c:pt>
                <c:pt idx="12">
                  <c:v>I</c:v>
                </c:pt>
                <c:pt idx="13">
                  <c:v>S</c:v>
                </c:pt>
                <c:pt idx="14">
                  <c:v>M</c:v>
                </c:pt>
                <c:pt idx="15">
                  <c:v>H</c:v>
                </c:pt>
                <c:pt idx="16">
                  <c:v>O</c:v>
                </c:pt>
                <c:pt idx="17">
                  <c:v>N</c:v>
                </c:pt>
                <c:pt idx="18">
                  <c:v>F</c:v>
                </c:pt>
                <c:pt idx="19">
                  <c:v>G</c:v>
                </c:pt>
                <c:pt idx="20">
                  <c:v>C</c:v>
                </c:pt>
              </c:strCache>
            </c:strRef>
          </c:cat>
          <c:val>
            <c:numRef>
              <c:f>'PKD rok'!$E$38:$E$58</c:f>
              <c:numCache>
                <c:formatCode>0</c:formatCode>
                <c:ptCount val="21"/>
                <c:pt idx="0">
                  <c:v>4</c:v>
                </c:pt>
                <c:pt idx="1">
                  <c:v>30</c:v>
                </c:pt>
                <c:pt idx="2">
                  <c:v>423</c:v>
                </c:pt>
                <c:pt idx="3">
                  <c:v>845</c:v>
                </c:pt>
                <c:pt idx="4">
                  <c:v>1370</c:v>
                </c:pt>
                <c:pt idx="5">
                  <c:v>1931</c:v>
                </c:pt>
                <c:pt idx="6">
                  <c:v>2149</c:v>
                </c:pt>
                <c:pt idx="7">
                  <c:v>2436</c:v>
                </c:pt>
                <c:pt idx="8">
                  <c:v>2705</c:v>
                </c:pt>
                <c:pt idx="9">
                  <c:v>3404</c:v>
                </c:pt>
                <c:pt idx="10">
                  <c:v>4340</c:v>
                </c:pt>
                <c:pt idx="11">
                  <c:v>4458</c:v>
                </c:pt>
                <c:pt idx="12">
                  <c:v>4813</c:v>
                </c:pt>
                <c:pt idx="13">
                  <c:v>5767</c:v>
                </c:pt>
                <c:pt idx="14">
                  <c:v>5878</c:v>
                </c:pt>
                <c:pt idx="15">
                  <c:v>6037</c:v>
                </c:pt>
                <c:pt idx="16">
                  <c:v>7776</c:v>
                </c:pt>
                <c:pt idx="17">
                  <c:v>15908</c:v>
                </c:pt>
                <c:pt idx="18">
                  <c:v>17437</c:v>
                </c:pt>
                <c:pt idx="19">
                  <c:v>27726</c:v>
                </c:pt>
                <c:pt idx="20">
                  <c:v>32143</c:v>
                </c:pt>
              </c:numCache>
            </c:numRef>
          </c:val>
        </c:ser>
        <c:dLbls>
          <c:showLegendKey val="0"/>
          <c:showVal val="1"/>
          <c:showCatName val="0"/>
          <c:showSerName val="0"/>
          <c:showPercent val="0"/>
          <c:showBubbleSize val="0"/>
        </c:dLbls>
        <c:gapWidth val="150"/>
        <c:axId val="91775744"/>
        <c:axId val="90636288"/>
      </c:barChart>
      <c:catAx>
        <c:axId val="91775744"/>
        <c:scaling>
          <c:orientation val="minMax"/>
        </c:scaling>
        <c:delete val="0"/>
        <c:axPos val="l"/>
        <c:majorGridlines/>
        <c:title>
          <c:tx>
            <c:rich>
              <a:bodyPr/>
              <a:lstStyle/>
              <a:p>
                <a:pPr>
                  <a:defRPr sz="1000" b="1" i="0" u="none" strike="noStrike" baseline="0">
                    <a:solidFill>
                      <a:srgbClr val="000000"/>
                    </a:solidFill>
                    <a:latin typeface="Calibri"/>
                    <a:ea typeface="Calibri"/>
                    <a:cs typeface="Calibri"/>
                  </a:defRPr>
                </a:pPr>
                <a:r>
                  <a:rPr lang="pl-PL"/>
                  <a:t>Sekcje PKD</a:t>
                </a:r>
              </a:p>
            </c:rich>
          </c:tx>
          <c:overlay val="0"/>
        </c:title>
        <c:numFmt formatCode="General" sourceLinked="1"/>
        <c:majorTickMark val="out"/>
        <c:minorTickMark val="none"/>
        <c:tickLblPos val="nextTo"/>
        <c:txPr>
          <a:bodyPr rot="0" vert="horz"/>
          <a:lstStyle/>
          <a:p>
            <a:pPr>
              <a:defRPr sz="1000" b="0" i="0" u="none" strike="noStrike" baseline="0">
                <a:solidFill>
                  <a:srgbClr val="000000"/>
                </a:solidFill>
                <a:latin typeface="Calibri"/>
                <a:ea typeface="Calibri"/>
                <a:cs typeface="Calibri"/>
              </a:defRPr>
            </a:pPr>
            <a:endParaRPr lang="pl-PL"/>
          </a:p>
        </c:txPr>
        <c:crossAx val="90636288"/>
        <c:crosses val="autoZero"/>
        <c:auto val="1"/>
        <c:lblAlgn val="ctr"/>
        <c:lblOffset val="100"/>
        <c:noMultiLvlLbl val="0"/>
      </c:catAx>
      <c:valAx>
        <c:axId val="90636288"/>
        <c:scaling>
          <c:orientation val="minMax"/>
        </c:scaling>
        <c:delete val="0"/>
        <c:axPos val="b"/>
        <c:majorGridlines/>
        <c:title>
          <c:tx>
            <c:rich>
              <a:bodyPr/>
              <a:lstStyle/>
              <a:p>
                <a:pPr>
                  <a:defRPr sz="1000" b="1" i="0" u="none" strike="noStrike" baseline="0">
                    <a:solidFill>
                      <a:srgbClr val="000000"/>
                    </a:solidFill>
                    <a:latin typeface="Calibri"/>
                    <a:ea typeface="Calibri"/>
                    <a:cs typeface="Calibri"/>
                  </a:defRPr>
                </a:pPr>
                <a:r>
                  <a:rPr lang="pl-PL"/>
                  <a:t>Liczba nowozarejestrowanych bezrobotnych</a:t>
                </a:r>
              </a:p>
            </c:rich>
          </c:tx>
          <c:overlay val="0"/>
        </c:title>
        <c:numFmt formatCode="0" sourceLinked="1"/>
        <c:majorTickMark val="out"/>
        <c:minorTickMark val="none"/>
        <c:tickLblPos val="nextTo"/>
        <c:txPr>
          <a:bodyPr rot="0" vert="horz"/>
          <a:lstStyle/>
          <a:p>
            <a:pPr>
              <a:defRPr sz="1000" b="0" i="0" u="none" strike="noStrike" baseline="0">
                <a:solidFill>
                  <a:srgbClr val="000000"/>
                </a:solidFill>
                <a:latin typeface="Calibri"/>
                <a:ea typeface="Calibri"/>
                <a:cs typeface="Calibri"/>
              </a:defRPr>
            </a:pPr>
            <a:endParaRPr lang="pl-PL"/>
          </a:p>
        </c:txPr>
        <c:crossAx val="91775744"/>
        <c:crosses val="autoZero"/>
        <c:crossBetween val="between"/>
      </c:valAx>
      <c:spPr>
        <a:solidFill>
          <a:srgbClr val="F9FEDA"/>
        </a:solidFill>
      </c:spPr>
    </c:plotArea>
    <c:plotVisOnly val="1"/>
    <c:dispBlanksAs val="gap"/>
    <c:showDLblsOverMax val="0"/>
  </c:chart>
  <c:spPr>
    <a:solidFill>
      <a:schemeClr val="lt1"/>
    </a:solidFill>
    <a:ln w="25400" cap="flat" cmpd="sng" algn="ctr">
      <a:solidFill>
        <a:schemeClr val="dk1"/>
      </a:solidFill>
      <a:prstDash val="solid"/>
    </a:ln>
    <a:effectLst/>
  </c:spPr>
  <c:txPr>
    <a:bodyPr/>
    <a:lstStyle/>
    <a:p>
      <a:pPr>
        <a:defRPr sz="1000" b="0" i="0" u="none" strike="noStrike" baseline="0">
          <a:solidFill>
            <a:srgbClr val="000000"/>
          </a:solidFill>
          <a:latin typeface="Calibri"/>
          <a:ea typeface="Calibri"/>
          <a:cs typeface="Calibri"/>
        </a:defRPr>
      </a:pPr>
      <a:endParaRPr lang="pl-PL"/>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lgn="ctr">
              <a:defRPr sz="1100" b="1" i="0" u="none" strike="noStrike" baseline="0">
                <a:solidFill>
                  <a:srgbClr val="000000"/>
                </a:solidFill>
                <a:latin typeface="Calibri"/>
                <a:ea typeface="Calibri"/>
                <a:cs typeface="Calibri"/>
              </a:defRPr>
            </a:pPr>
            <a:r>
              <a:rPr lang="pl-PL"/>
              <a:t>Zgłoszenia zwolnień i zwolnienia z przyczyn dotyczących 
zakładów pracy w woj. dolnośląskim 
w okresie styczeń - grudzień w latach 2007 - 2013</a:t>
            </a:r>
          </a:p>
        </c:rich>
      </c:tx>
      <c:layout>
        <c:manualLayout>
          <c:xMode val="edge"/>
          <c:yMode val="edge"/>
          <c:x val="0.23208113944205727"/>
          <c:y val="1.6845404339024265E-2"/>
        </c:manualLayout>
      </c:layout>
      <c:overlay val="0"/>
      <c:spPr>
        <a:noFill/>
        <a:ln w="25400">
          <a:noFill/>
        </a:ln>
      </c:spPr>
    </c:title>
    <c:autoTitleDeleted val="0"/>
    <c:view3D>
      <c:rotX val="15"/>
      <c:hPercent val="51"/>
      <c:rotY val="20"/>
      <c:depthPercent val="100"/>
      <c:rAngAx val="1"/>
    </c:view3D>
    <c:floor>
      <c:thickness val="0"/>
      <c:spPr>
        <a:solidFill>
          <a:srgbClr val="C0C0C0"/>
        </a:solidFill>
        <a:ln w="3175">
          <a:solidFill>
            <a:srgbClr val="000000"/>
          </a:solidFill>
          <a:prstDash val="solid"/>
        </a:ln>
      </c:spPr>
    </c:floor>
    <c:sideWall>
      <c:thickness val="0"/>
      <c:spPr>
        <a:solidFill>
          <a:srgbClr val="FFFFCC"/>
        </a:solidFill>
        <a:ln w="12700">
          <a:solidFill>
            <a:srgbClr val="808080"/>
          </a:solidFill>
          <a:prstDash val="solid"/>
        </a:ln>
      </c:spPr>
    </c:sideWall>
    <c:backWall>
      <c:thickness val="0"/>
      <c:spPr>
        <a:solidFill>
          <a:srgbClr val="FFFFCC"/>
        </a:solidFill>
        <a:ln w="12700">
          <a:solidFill>
            <a:srgbClr val="808080"/>
          </a:solidFill>
          <a:prstDash val="solid"/>
        </a:ln>
      </c:spPr>
    </c:backWall>
    <c:plotArea>
      <c:layout>
        <c:manualLayout>
          <c:layoutTarget val="inner"/>
          <c:xMode val="edge"/>
          <c:yMode val="edge"/>
          <c:x val="0.13653846153846624"/>
          <c:y val="0.16542520346165795"/>
          <c:w val="0.85384615384615381"/>
          <c:h val="0.67103591899880455"/>
        </c:manualLayout>
      </c:layout>
      <c:bar3DChart>
        <c:barDir val="col"/>
        <c:grouping val="clustered"/>
        <c:varyColors val="0"/>
        <c:ser>
          <c:idx val="0"/>
          <c:order val="0"/>
          <c:tx>
            <c:v>Zgłoszenia</c:v>
          </c:tx>
          <c:spPr>
            <a:solidFill>
              <a:srgbClr val="FFFF00"/>
            </a:solidFill>
            <a:ln w="12786">
              <a:solidFill>
                <a:srgbClr val="000000"/>
              </a:solidFill>
              <a:prstDash val="solid"/>
            </a:ln>
          </c:spPr>
          <c:invertIfNegative val="0"/>
          <c:dLbls>
            <c:dLbl>
              <c:idx val="0"/>
              <c:layout>
                <c:manualLayout>
                  <c:x val="1.3406132875365901E-2"/>
                  <c:y val="-2.4793298822533841E-2"/>
                </c:manualLayout>
              </c:layout>
              <c:numFmt formatCode="0" sourceLinked="0"/>
              <c:spPr>
                <a:noFill/>
                <a:ln w="25400">
                  <a:noFill/>
                </a:ln>
              </c:spPr>
              <c:txPr>
                <a:bodyPr/>
                <a:lstStyle/>
                <a:p>
                  <a:pPr>
                    <a:defRPr sz="1000" b="1" i="0" u="none" strike="noStrike" baseline="0">
                      <a:solidFill>
                        <a:srgbClr val="000000"/>
                      </a:solidFill>
                      <a:latin typeface="Calibri"/>
                      <a:ea typeface="Calibri"/>
                      <a:cs typeface="Calibri"/>
                    </a:defRPr>
                  </a:pPr>
                  <a:endParaRPr lang="pl-PL"/>
                </a:p>
              </c:txPr>
              <c:showLegendKey val="0"/>
              <c:showVal val="1"/>
              <c:showCatName val="0"/>
              <c:showSerName val="0"/>
              <c:showPercent val="0"/>
              <c:showBubbleSize val="0"/>
              <c:extLst>
                <c:ext xmlns:c15="http://schemas.microsoft.com/office/drawing/2012/chart" uri="{CE6537A1-D6FC-4f65-9D91-7224C49458BB}"/>
              </c:extLst>
            </c:dLbl>
            <c:dLbl>
              <c:idx val="1"/>
              <c:layout>
                <c:manualLayout>
                  <c:x val="5.5614961710033963E-3"/>
                  <c:y val="2.4644148700556394E-3"/>
                </c:manualLayout>
              </c:layout>
              <c:numFmt formatCode="0" sourceLinked="0"/>
              <c:spPr>
                <a:noFill/>
                <a:ln w="25400">
                  <a:noFill/>
                </a:ln>
              </c:spPr>
              <c:txPr>
                <a:bodyPr/>
                <a:lstStyle/>
                <a:p>
                  <a:pPr>
                    <a:defRPr sz="1000" b="1" i="0" u="none" strike="noStrike" baseline="0">
                      <a:solidFill>
                        <a:srgbClr val="000000"/>
                      </a:solidFill>
                      <a:latin typeface="Calibri"/>
                      <a:ea typeface="Calibri"/>
                      <a:cs typeface="Calibri"/>
                    </a:defRPr>
                  </a:pPr>
                  <a:endParaRPr lang="pl-PL"/>
                </a:p>
              </c:txPr>
              <c:showLegendKey val="0"/>
              <c:showVal val="1"/>
              <c:showCatName val="0"/>
              <c:showSerName val="0"/>
              <c:showPercent val="0"/>
              <c:showBubbleSize val="0"/>
              <c:extLst>
                <c:ext xmlns:c15="http://schemas.microsoft.com/office/drawing/2012/chart" uri="{CE6537A1-D6FC-4f65-9D91-7224C49458BB}"/>
              </c:extLst>
            </c:dLbl>
            <c:dLbl>
              <c:idx val="2"/>
              <c:layout>
                <c:manualLayout>
                  <c:x val="5.6288951535379056E-3"/>
                  <c:y val="-3.621121667096491E-3"/>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1.7757527500073728E-2"/>
                  <c:y val="-7.9972497140630081E-3"/>
                </c:manualLayout>
              </c:layout>
              <c:showLegendKey val="0"/>
              <c:showVal val="1"/>
              <c:showCatName val="0"/>
              <c:showSerName val="0"/>
              <c:showPercent val="0"/>
              <c:showBubbleSize val="0"/>
              <c:extLst>
                <c:ext xmlns:c15="http://schemas.microsoft.com/office/drawing/2012/chart" uri="{CE6537A1-D6FC-4f65-9D91-7224C49458BB}"/>
              </c:extLst>
            </c:dLbl>
            <c:dLbl>
              <c:idx val="4"/>
              <c:layout>
                <c:manualLayout>
                  <c:x val="1.7516174675696401E-2"/>
                  <c:y val="-1.4494271339508261E-2"/>
                </c:manualLayout>
              </c:layout>
              <c:numFmt formatCode="0" sourceLinked="0"/>
              <c:spPr>
                <a:noFill/>
                <a:ln w="25400">
                  <a:noFill/>
                </a:ln>
              </c:spPr>
              <c:txPr>
                <a:bodyPr/>
                <a:lstStyle/>
                <a:p>
                  <a:pPr>
                    <a:defRPr sz="1000" b="1" i="0" u="none" strike="noStrike" baseline="0">
                      <a:solidFill>
                        <a:srgbClr val="000000"/>
                      </a:solidFill>
                      <a:latin typeface="Calibri"/>
                      <a:ea typeface="Calibri"/>
                      <a:cs typeface="Calibri"/>
                    </a:defRPr>
                  </a:pPr>
                  <a:endParaRPr lang="pl-PL"/>
                </a:p>
              </c:txPr>
              <c:showLegendKey val="0"/>
              <c:showVal val="1"/>
              <c:showCatName val="0"/>
              <c:showSerName val="0"/>
              <c:showPercent val="0"/>
              <c:showBubbleSize val="0"/>
              <c:extLst>
                <c:ext xmlns:c15="http://schemas.microsoft.com/office/drawing/2012/chart" uri="{CE6537A1-D6FC-4f65-9D91-7224C49458BB}"/>
              </c:extLst>
            </c:dLbl>
            <c:dLbl>
              <c:idx val="5"/>
              <c:layout>
                <c:manualLayout>
                  <c:x val="2.2669604571033612E-2"/>
                  <c:y val="-6.7389938978031977E-3"/>
                </c:manualLayout>
              </c:layout>
              <c:showLegendKey val="0"/>
              <c:showVal val="1"/>
              <c:showCatName val="0"/>
              <c:showSerName val="0"/>
              <c:showPercent val="0"/>
              <c:showBubbleSize val="0"/>
              <c:extLst>
                <c:ext xmlns:c15="http://schemas.microsoft.com/office/drawing/2012/chart" uri="{CE6537A1-D6FC-4f65-9D91-7224C49458BB}"/>
              </c:extLst>
            </c:dLbl>
            <c:dLbl>
              <c:idx val="6"/>
              <c:layout>
                <c:manualLayout>
                  <c:x val="1.4765378699035983E-2"/>
                  <c:y val="-1.851920902834249E-2"/>
                </c:manualLayout>
              </c:layout>
              <c:showLegendKey val="0"/>
              <c:showVal val="1"/>
              <c:showCatName val="0"/>
              <c:showSerName val="0"/>
              <c:showPercent val="0"/>
              <c:showBubbleSize val="0"/>
              <c:extLst>
                <c:ext xmlns:c15="http://schemas.microsoft.com/office/drawing/2012/chart" uri="{CE6537A1-D6FC-4f65-9D91-7224C49458BB}"/>
              </c:extLst>
            </c:dLbl>
            <c:dLbl>
              <c:idx val="7"/>
              <c:layout>
                <c:manualLayout>
                  <c:xMode val="edge"/>
                  <c:yMode val="edge"/>
                  <c:x val="0.67500000000001348"/>
                  <c:y val="0.63002680965148916"/>
                </c:manualLayout>
              </c:layout>
              <c:showLegendKey val="0"/>
              <c:showVal val="1"/>
              <c:showCatName val="0"/>
              <c:showSerName val="0"/>
              <c:showPercent val="0"/>
              <c:showBubbleSize val="0"/>
              <c:extLst>
                <c:ext xmlns:c15="http://schemas.microsoft.com/office/drawing/2012/chart" uri="{CE6537A1-D6FC-4f65-9D91-7224C49458BB}"/>
              </c:extLst>
            </c:dLbl>
            <c:dLbl>
              <c:idx val="8"/>
              <c:layout>
                <c:manualLayout>
                  <c:xMode val="edge"/>
                  <c:yMode val="edge"/>
                  <c:x val="0.75192307692310034"/>
                  <c:y val="0.59517426273458462"/>
                </c:manualLayout>
              </c:layout>
              <c:showLegendKey val="0"/>
              <c:showVal val="1"/>
              <c:showCatName val="0"/>
              <c:showSerName val="0"/>
              <c:showPercent val="0"/>
              <c:showBubbleSize val="0"/>
              <c:extLst>
                <c:ext xmlns:c15="http://schemas.microsoft.com/office/drawing/2012/chart" uri="{CE6537A1-D6FC-4f65-9D91-7224C49458BB}"/>
              </c:extLst>
            </c:dLbl>
            <c:dLbl>
              <c:idx val="9"/>
              <c:layout>
                <c:manualLayout>
                  <c:xMode val="edge"/>
                  <c:yMode val="edge"/>
                  <c:x val="0.82307692307692248"/>
                  <c:y val="0.46380697050939002"/>
                </c:manualLayout>
              </c:layout>
              <c:showLegendKey val="0"/>
              <c:showVal val="1"/>
              <c:showCatName val="0"/>
              <c:showSerName val="0"/>
              <c:showPercent val="0"/>
              <c:showBubbleSize val="0"/>
              <c:extLst>
                <c:ext xmlns:c15="http://schemas.microsoft.com/office/drawing/2012/chart" uri="{CE6537A1-D6FC-4f65-9D91-7224C49458BB}"/>
              </c:extLst>
            </c:dLbl>
            <c:dLbl>
              <c:idx val="10"/>
              <c:layout>
                <c:manualLayout>
                  <c:xMode val="edge"/>
                  <c:yMode val="edge"/>
                  <c:x val="0.8865384615384615"/>
                  <c:y val="0.63538873994638068"/>
                </c:manualLayout>
              </c:layout>
              <c:showLegendKey val="0"/>
              <c:showVal val="1"/>
              <c:showCatName val="0"/>
              <c:showSerName val="0"/>
              <c:showPercent val="0"/>
              <c:showBubbleSize val="0"/>
              <c:extLst>
                <c:ext xmlns:c15="http://schemas.microsoft.com/office/drawing/2012/chart" uri="{CE6537A1-D6FC-4f65-9D91-7224C49458BB}"/>
              </c:extLst>
            </c:dLbl>
            <c:dLbl>
              <c:idx val="11"/>
              <c:layout>
                <c:manualLayout>
                  <c:xMode val="edge"/>
                  <c:yMode val="edge"/>
                  <c:x val="0.95961538461538465"/>
                  <c:y val="0.62466487935658821"/>
                </c:manualLayout>
              </c:layout>
              <c:showLegendKey val="0"/>
              <c:showVal val="1"/>
              <c:showCatName val="0"/>
              <c:showSerName val="0"/>
              <c:showPercent val="0"/>
              <c:showBubbleSize val="0"/>
              <c:extLst>
                <c:ext xmlns:c15="http://schemas.microsoft.com/office/drawing/2012/chart" uri="{CE6537A1-D6FC-4f65-9D91-7224C49458BB}"/>
              </c:extLst>
            </c:dLbl>
            <c:dLbl>
              <c:idx val="12"/>
              <c:layout>
                <c:manualLayout>
                  <c:xMode val="edge"/>
                  <c:yMode val="edge"/>
                  <c:x val="0.87692307692310034"/>
                  <c:y val="0.53619302949061654"/>
                </c:manualLayout>
              </c:layout>
              <c:showLegendKey val="0"/>
              <c:showVal val="1"/>
              <c:showCatName val="0"/>
              <c:showSerName val="0"/>
              <c:showPercent val="0"/>
              <c:showBubbleSize val="0"/>
              <c:extLst>
                <c:ext xmlns:c15="http://schemas.microsoft.com/office/drawing/2012/chart" uri="{CE6537A1-D6FC-4f65-9D91-7224C49458BB}"/>
              </c:extLst>
            </c:dLbl>
            <c:dLbl>
              <c:idx val="13"/>
              <c:layout>
                <c:manualLayout>
                  <c:xMode val="edge"/>
                  <c:yMode val="edge"/>
                  <c:x val="0.92500000000000004"/>
                  <c:y val="0.43431635388741108"/>
                </c:manualLayout>
              </c:layout>
              <c:showLegendKey val="0"/>
              <c:showVal val="1"/>
              <c:showCatName val="0"/>
              <c:showSerName val="0"/>
              <c:showPercent val="0"/>
              <c:showBubbleSize val="0"/>
              <c:extLst>
                <c:ext xmlns:c15="http://schemas.microsoft.com/office/drawing/2012/chart" uri="{CE6537A1-D6FC-4f65-9D91-7224C49458BB}"/>
              </c:extLst>
            </c:dLbl>
            <c:spPr>
              <a:noFill/>
              <a:ln w="25400">
                <a:noFill/>
              </a:ln>
            </c:spPr>
            <c:txPr>
              <a:bodyPr/>
              <a:lstStyle/>
              <a:p>
                <a:pPr>
                  <a:defRPr sz="1000" b="1" i="0" u="none" strike="noStrike" baseline="0">
                    <a:solidFill>
                      <a:srgbClr val="000000"/>
                    </a:solidFill>
                    <a:latin typeface="Calibri"/>
                    <a:ea typeface="Calibri"/>
                    <a:cs typeface="Calibri"/>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'Zwolnienia-wykres'!$C$17:$I$17</c:f>
              <c:strCache>
                <c:ptCount val="7"/>
                <c:pt idx="0">
                  <c:v>I - XII
2007</c:v>
                </c:pt>
                <c:pt idx="1">
                  <c:v>I - XII
2008</c:v>
                </c:pt>
                <c:pt idx="2">
                  <c:v>I - XII
2009</c:v>
                </c:pt>
                <c:pt idx="3">
                  <c:v>I - XII
2010</c:v>
                </c:pt>
                <c:pt idx="4">
                  <c:v>I - XII
2011</c:v>
                </c:pt>
                <c:pt idx="5">
                  <c:v>I - XII
2012</c:v>
                </c:pt>
                <c:pt idx="6">
                  <c:v>I - XII
2013</c:v>
                </c:pt>
              </c:strCache>
            </c:strRef>
          </c:cat>
          <c:val>
            <c:numRef>
              <c:f>'Zwolnienia-wykres'!$C$18:$I$18</c:f>
              <c:numCache>
                <c:formatCode>General</c:formatCode>
                <c:ptCount val="7"/>
                <c:pt idx="0">
                  <c:v>947</c:v>
                </c:pt>
                <c:pt idx="1">
                  <c:v>3664</c:v>
                </c:pt>
                <c:pt idx="2">
                  <c:v>4596</c:v>
                </c:pt>
                <c:pt idx="3">
                  <c:v>3940</c:v>
                </c:pt>
                <c:pt idx="4">
                  <c:v>3782</c:v>
                </c:pt>
                <c:pt idx="5">
                  <c:v>5198</c:v>
                </c:pt>
                <c:pt idx="6">
                  <c:v>2229</c:v>
                </c:pt>
              </c:numCache>
            </c:numRef>
          </c:val>
        </c:ser>
        <c:ser>
          <c:idx val="1"/>
          <c:order val="1"/>
          <c:tx>
            <c:v>Zwolnienia</c:v>
          </c:tx>
          <c:spPr>
            <a:solidFill>
              <a:srgbClr val="00B050"/>
            </a:solidFill>
          </c:spPr>
          <c:invertIfNegative val="0"/>
          <c:dLbls>
            <c:dLbl>
              <c:idx val="0"/>
              <c:layout>
                <c:manualLayout>
                  <c:x val="1.6460905349794462E-2"/>
                  <c:y val="-6.7170445004198194E-3"/>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1.6460905349794462E-2"/>
                  <c:y val="-6.7170445004198194E-3"/>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1.9204389574759947E-2"/>
                  <c:y val="-6.7170445004198194E-3"/>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1.9204389574759947E-2"/>
                  <c:y val="-2.0151133501259452E-2"/>
                </c:manualLayout>
              </c:layout>
              <c:showLegendKey val="0"/>
              <c:showVal val="1"/>
              <c:showCatName val="0"/>
              <c:showSerName val="0"/>
              <c:showPercent val="0"/>
              <c:showBubbleSize val="0"/>
              <c:extLst>
                <c:ext xmlns:c15="http://schemas.microsoft.com/office/drawing/2012/chart" uri="{CE6537A1-D6FC-4f65-9D91-7224C49458BB}"/>
              </c:extLst>
            </c:dLbl>
            <c:dLbl>
              <c:idx val="4"/>
              <c:layout>
                <c:manualLayout>
                  <c:x val="2.4691358024691492E-2"/>
                  <c:y val="-1.0075566750629716E-2"/>
                </c:manualLayout>
              </c:layout>
              <c:showLegendKey val="0"/>
              <c:showVal val="1"/>
              <c:showCatName val="0"/>
              <c:showSerName val="0"/>
              <c:showPercent val="0"/>
              <c:showBubbleSize val="0"/>
              <c:extLst>
                <c:ext xmlns:c15="http://schemas.microsoft.com/office/drawing/2012/chart" uri="{CE6537A1-D6FC-4f65-9D91-7224C49458BB}"/>
              </c:extLst>
            </c:dLbl>
            <c:dLbl>
              <c:idx val="5"/>
              <c:layout>
                <c:manualLayout>
                  <c:x val="2.7434842249657507E-2"/>
                  <c:y val="0"/>
                </c:manualLayout>
              </c:layout>
              <c:showLegendKey val="0"/>
              <c:showVal val="1"/>
              <c:showCatName val="0"/>
              <c:showSerName val="0"/>
              <c:showPercent val="0"/>
              <c:showBubbleSize val="0"/>
              <c:extLst>
                <c:ext xmlns:c15="http://schemas.microsoft.com/office/drawing/2012/chart" uri="{CE6537A1-D6FC-4f65-9D91-7224C49458BB}"/>
              </c:extLst>
            </c:dLbl>
            <c:dLbl>
              <c:idx val="6"/>
              <c:layout>
                <c:manualLayout>
                  <c:x val="2.5789813023855888E-2"/>
                  <c:y val="-2.3509655751469356E-2"/>
                </c:manualLayout>
              </c:layout>
              <c:showLegendKey val="0"/>
              <c:showVal val="1"/>
              <c:showCatName val="0"/>
              <c:showSerName val="0"/>
              <c:showPercent val="0"/>
              <c:showBubbleSize val="0"/>
              <c:extLst>
                <c:ext xmlns:c15="http://schemas.microsoft.com/office/drawing/2012/chart" uri="{CE6537A1-D6FC-4f65-9D91-7224C49458BB}"/>
              </c:extLst>
            </c:dLbl>
            <c:spPr>
              <a:noFill/>
              <a:ln w="25400">
                <a:noFill/>
              </a:ln>
            </c:spPr>
            <c:txPr>
              <a:bodyPr/>
              <a:lstStyle/>
              <a:p>
                <a:pPr>
                  <a:defRPr sz="1000" b="1" i="0" u="none" strike="noStrike" baseline="0">
                    <a:solidFill>
                      <a:srgbClr val="000000"/>
                    </a:solidFill>
                    <a:latin typeface="Calibri"/>
                    <a:ea typeface="Calibri"/>
                    <a:cs typeface="Calibri"/>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'Zwolnienia-wykres'!$C$17:$I$17</c:f>
              <c:strCache>
                <c:ptCount val="7"/>
                <c:pt idx="0">
                  <c:v>I - XII
2007</c:v>
                </c:pt>
                <c:pt idx="1">
                  <c:v>I - XII
2008</c:v>
                </c:pt>
                <c:pt idx="2">
                  <c:v>I - XII
2009</c:v>
                </c:pt>
                <c:pt idx="3">
                  <c:v>I - XII
2010</c:v>
                </c:pt>
                <c:pt idx="4">
                  <c:v>I - XII
2011</c:v>
                </c:pt>
                <c:pt idx="5">
                  <c:v>I - XII
2012</c:v>
                </c:pt>
                <c:pt idx="6">
                  <c:v>I - XII
2013</c:v>
                </c:pt>
              </c:strCache>
            </c:strRef>
          </c:cat>
          <c:val>
            <c:numRef>
              <c:f>'Zwolnienia-wykres'!$C$19:$I$19</c:f>
              <c:numCache>
                <c:formatCode>General</c:formatCode>
                <c:ptCount val="7"/>
                <c:pt idx="0">
                  <c:v>951</c:v>
                </c:pt>
                <c:pt idx="1">
                  <c:v>2611</c:v>
                </c:pt>
                <c:pt idx="2">
                  <c:v>4288</c:v>
                </c:pt>
                <c:pt idx="3">
                  <c:v>2877</c:v>
                </c:pt>
                <c:pt idx="4">
                  <c:v>2719</c:v>
                </c:pt>
                <c:pt idx="5">
                  <c:v>2618</c:v>
                </c:pt>
                <c:pt idx="6">
                  <c:v>1401</c:v>
                </c:pt>
              </c:numCache>
            </c:numRef>
          </c:val>
        </c:ser>
        <c:dLbls>
          <c:showLegendKey val="0"/>
          <c:showVal val="1"/>
          <c:showCatName val="0"/>
          <c:showSerName val="0"/>
          <c:showPercent val="0"/>
          <c:showBubbleSize val="0"/>
        </c:dLbls>
        <c:gapWidth val="150"/>
        <c:gapDepth val="0"/>
        <c:shape val="box"/>
        <c:axId val="93072000"/>
        <c:axId val="93077888"/>
        <c:axId val="0"/>
      </c:bar3DChart>
      <c:catAx>
        <c:axId val="93072000"/>
        <c:scaling>
          <c:orientation val="minMax"/>
        </c:scaling>
        <c:delete val="0"/>
        <c:axPos val="b"/>
        <c:majorGridlines>
          <c:spPr>
            <a:ln w="3197">
              <a:solidFill>
                <a:srgbClr val="000000"/>
              </a:solidFill>
              <a:prstDash val="solid"/>
            </a:ln>
          </c:spPr>
        </c:majorGridlines>
        <c:numFmt formatCode="General" sourceLinked="1"/>
        <c:majorTickMark val="out"/>
        <c:minorTickMark val="none"/>
        <c:tickLblPos val="low"/>
        <c:spPr>
          <a:ln w="3197">
            <a:solidFill>
              <a:srgbClr val="000000"/>
            </a:solidFill>
            <a:prstDash val="solid"/>
          </a:ln>
        </c:spPr>
        <c:txPr>
          <a:bodyPr rot="0" vert="horz"/>
          <a:lstStyle/>
          <a:p>
            <a:pPr>
              <a:defRPr sz="1000" b="1" i="0" u="none" strike="noStrike" baseline="0">
                <a:solidFill>
                  <a:srgbClr val="000000"/>
                </a:solidFill>
                <a:latin typeface="Calibri"/>
                <a:ea typeface="Calibri"/>
                <a:cs typeface="Calibri"/>
              </a:defRPr>
            </a:pPr>
            <a:endParaRPr lang="pl-PL"/>
          </a:p>
        </c:txPr>
        <c:crossAx val="93077888"/>
        <c:crosses val="autoZero"/>
        <c:auto val="1"/>
        <c:lblAlgn val="ctr"/>
        <c:lblOffset val="100"/>
        <c:tickLblSkip val="1"/>
        <c:tickMarkSkip val="1"/>
        <c:noMultiLvlLbl val="0"/>
      </c:catAx>
      <c:valAx>
        <c:axId val="93077888"/>
        <c:scaling>
          <c:orientation val="minMax"/>
        </c:scaling>
        <c:delete val="0"/>
        <c:axPos val="l"/>
        <c:majorGridlines>
          <c:spPr>
            <a:ln w="3197">
              <a:solidFill>
                <a:srgbClr val="000000"/>
              </a:solidFill>
              <a:prstDash val="solid"/>
            </a:ln>
          </c:spPr>
        </c:majorGridlines>
        <c:title>
          <c:tx>
            <c:rich>
              <a:bodyPr/>
              <a:lstStyle/>
              <a:p>
                <a:pPr>
                  <a:defRPr sz="1000" b="1" i="0" u="none" strike="noStrike" baseline="0">
                    <a:solidFill>
                      <a:srgbClr val="000000"/>
                    </a:solidFill>
                    <a:latin typeface="Calibri"/>
                    <a:ea typeface="Calibri"/>
                    <a:cs typeface="Calibri"/>
                  </a:defRPr>
                </a:pPr>
                <a:r>
                  <a:rPr lang="pl-PL"/>
                  <a:t>liczba pracowników</a:t>
                </a:r>
              </a:p>
            </c:rich>
          </c:tx>
          <c:layout>
            <c:manualLayout>
              <c:xMode val="edge"/>
              <c:yMode val="edge"/>
              <c:x val="1.4438640044269126E-2"/>
              <c:y val="0.37533522415491538"/>
            </c:manualLayout>
          </c:layout>
          <c:overlay val="0"/>
          <c:spPr>
            <a:noFill/>
            <a:ln w="25400">
              <a:noFill/>
            </a:ln>
          </c:spPr>
        </c:title>
        <c:numFmt formatCode="0" sourceLinked="0"/>
        <c:majorTickMark val="out"/>
        <c:minorTickMark val="none"/>
        <c:tickLblPos val="nextTo"/>
        <c:spPr>
          <a:ln w="3197">
            <a:solidFill>
              <a:srgbClr val="000000"/>
            </a:solidFill>
            <a:prstDash val="solid"/>
          </a:ln>
        </c:spPr>
        <c:txPr>
          <a:bodyPr rot="0" vert="horz"/>
          <a:lstStyle/>
          <a:p>
            <a:pPr>
              <a:defRPr sz="1000" b="1" i="0" u="none" strike="noStrike" baseline="0">
                <a:solidFill>
                  <a:srgbClr val="000000"/>
                </a:solidFill>
                <a:latin typeface="Calibri"/>
                <a:ea typeface="Calibri"/>
                <a:cs typeface="Calibri"/>
              </a:defRPr>
            </a:pPr>
            <a:endParaRPr lang="pl-PL"/>
          </a:p>
        </c:txPr>
        <c:crossAx val="93072000"/>
        <c:crosses val="autoZero"/>
        <c:crossBetween val="between"/>
      </c:valAx>
      <c:spPr>
        <a:noFill/>
        <a:ln w="25400">
          <a:noFill/>
        </a:ln>
      </c:spPr>
    </c:plotArea>
    <c:legend>
      <c:legendPos val="r"/>
      <c:layout>
        <c:manualLayout>
          <c:xMode val="edge"/>
          <c:yMode val="edge"/>
          <c:x val="0.32921874127436646"/>
          <c:y val="0.91687763210959761"/>
          <c:w val="0.35596765104555483"/>
          <c:h val="6.0453400503777899E-2"/>
        </c:manualLayout>
      </c:layout>
      <c:overlay val="0"/>
      <c:spPr>
        <a:solidFill>
          <a:srgbClr val="FFFFFF"/>
        </a:solidFill>
        <a:ln w="3197">
          <a:solidFill>
            <a:srgbClr val="000000"/>
          </a:solidFill>
          <a:prstDash val="solid"/>
        </a:ln>
      </c:spPr>
      <c:txPr>
        <a:bodyPr/>
        <a:lstStyle/>
        <a:p>
          <a:pPr>
            <a:defRPr sz="775" b="0" i="0" u="none" strike="noStrike" baseline="0">
              <a:solidFill>
                <a:srgbClr val="000000"/>
              </a:solidFill>
              <a:latin typeface="Calibri"/>
              <a:ea typeface="Calibri"/>
              <a:cs typeface="Calibri"/>
            </a:defRPr>
          </a:pPr>
          <a:endParaRPr lang="pl-PL"/>
        </a:p>
      </c:txPr>
    </c:legend>
    <c:plotVisOnly val="1"/>
    <c:dispBlanksAs val="gap"/>
    <c:showDLblsOverMax val="0"/>
  </c:chart>
  <c:spPr>
    <a:solidFill>
      <a:schemeClr val="lt1"/>
    </a:solidFill>
    <a:ln w="25400" cap="flat" cmpd="sng" algn="ctr">
      <a:solidFill>
        <a:schemeClr val="dk1"/>
      </a:solidFill>
      <a:prstDash val="solid"/>
    </a:ln>
    <a:effectLst/>
  </c:spPr>
  <c:txPr>
    <a:bodyPr/>
    <a:lstStyle/>
    <a:p>
      <a:pPr>
        <a:defRPr sz="1000" b="0" i="0" u="none" strike="noStrike" baseline="0">
          <a:solidFill>
            <a:srgbClr val="000000"/>
          </a:solidFill>
          <a:latin typeface="Calibri"/>
          <a:ea typeface="Calibri"/>
          <a:cs typeface="Calibri"/>
        </a:defRPr>
      </a:pPr>
      <a:endParaRPr lang="pl-PL"/>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lgn="ctr">
              <a:defRPr sz="1000" b="0" i="0" u="none" strike="noStrike" baseline="0">
                <a:solidFill>
                  <a:srgbClr val="000000"/>
                </a:solidFill>
                <a:latin typeface="Calibri"/>
                <a:ea typeface="Calibri"/>
                <a:cs typeface="Calibri"/>
              </a:defRPr>
            </a:pPr>
            <a:r>
              <a:rPr lang="pl-PL" sz="1100" b="1" i="0" u="none" strike="noStrike" baseline="0">
                <a:solidFill>
                  <a:srgbClr val="000000"/>
                </a:solidFill>
                <a:latin typeface="Calibri"/>
              </a:rPr>
              <a:t>Napływ ofert pracy w poszczególnych sekcjach PKD w 2013 r.</a:t>
            </a:r>
          </a:p>
        </c:rich>
      </c:tx>
      <c:layout>
        <c:manualLayout>
          <c:xMode val="edge"/>
          <c:yMode val="edge"/>
          <c:x val="0.11547222222222223"/>
          <c:y val="3.2683784092205868E-2"/>
        </c:manualLayout>
      </c:layout>
      <c:overlay val="1"/>
    </c:title>
    <c:autoTitleDeleted val="0"/>
    <c:plotArea>
      <c:layout>
        <c:manualLayout>
          <c:layoutTarget val="inner"/>
          <c:xMode val="edge"/>
          <c:yMode val="edge"/>
          <c:x val="0.12451618547681602"/>
          <c:y val="8.9219330855018583E-2"/>
          <c:w val="0.81676859142607172"/>
          <c:h val="0.83028285962395953"/>
        </c:manualLayout>
      </c:layout>
      <c:barChart>
        <c:barDir val="bar"/>
        <c:grouping val="clustered"/>
        <c:varyColors val="0"/>
        <c:ser>
          <c:idx val="0"/>
          <c:order val="0"/>
          <c:spPr>
            <a:solidFill>
              <a:srgbClr val="00B050"/>
            </a:solidFill>
          </c:spPr>
          <c:invertIfNegative val="0"/>
          <c:dLbls>
            <c:spPr>
              <a:noFill/>
              <a:ln>
                <a:noFill/>
              </a:ln>
              <a:effectLst/>
            </c:spPr>
            <c:txPr>
              <a:bodyPr/>
              <a:lstStyle/>
              <a:p>
                <a:pPr>
                  <a:defRPr sz="1000" b="1" i="0" u="none" strike="noStrike" baseline="0">
                    <a:solidFill>
                      <a:srgbClr val="000000"/>
                    </a:solidFill>
                    <a:latin typeface="Calibri"/>
                    <a:ea typeface="Calibri"/>
                    <a:cs typeface="Calibri"/>
                  </a:defRPr>
                </a:pPr>
                <a:endParaRPr lang="pl-PL"/>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'PKD rok'!$B$7:$B$27</c:f>
              <c:strCache>
                <c:ptCount val="21"/>
                <c:pt idx="0">
                  <c:v>U</c:v>
                </c:pt>
                <c:pt idx="1">
                  <c:v>T</c:v>
                </c:pt>
                <c:pt idx="2">
                  <c:v>D</c:v>
                </c:pt>
                <c:pt idx="3">
                  <c:v>B</c:v>
                </c:pt>
                <c:pt idx="4">
                  <c:v>L</c:v>
                </c:pt>
                <c:pt idx="5">
                  <c:v>E</c:v>
                </c:pt>
                <c:pt idx="6">
                  <c:v>A</c:v>
                </c:pt>
                <c:pt idx="7">
                  <c:v>J</c:v>
                </c:pt>
                <c:pt idx="8">
                  <c:v>K</c:v>
                </c:pt>
                <c:pt idx="9">
                  <c:v>S</c:v>
                </c:pt>
                <c:pt idx="10">
                  <c:v>R</c:v>
                </c:pt>
                <c:pt idx="11">
                  <c:v>I</c:v>
                </c:pt>
                <c:pt idx="12">
                  <c:v>H</c:v>
                </c:pt>
                <c:pt idx="13">
                  <c:v>Q</c:v>
                </c:pt>
                <c:pt idx="14">
                  <c:v>P</c:v>
                </c:pt>
                <c:pt idx="15">
                  <c:v>M</c:v>
                </c:pt>
                <c:pt idx="16">
                  <c:v>F</c:v>
                </c:pt>
                <c:pt idx="17">
                  <c:v>O</c:v>
                </c:pt>
                <c:pt idx="18">
                  <c:v>G</c:v>
                </c:pt>
                <c:pt idx="19">
                  <c:v>N</c:v>
                </c:pt>
                <c:pt idx="20">
                  <c:v>C</c:v>
                </c:pt>
              </c:strCache>
            </c:strRef>
          </c:cat>
          <c:val>
            <c:numRef>
              <c:f>'PKD rok'!$F$7:$F$27</c:f>
              <c:numCache>
                <c:formatCode>0</c:formatCode>
                <c:ptCount val="21"/>
                <c:pt idx="0">
                  <c:v>3</c:v>
                </c:pt>
                <c:pt idx="1">
                  <c:v>12</c:v>
                </c:pt>
                <c:pt idx="2">
                  <c:v>67</c:v>
                </c:pt>
                <c:pt idx="3">
                  <c:v>327</c:v>
                </c:pt>
                <c:pt idx="4">
                  <c:v>1076</c:v>
                </c:pt>
                <c:pt idx="5">
                  <c:v>1104</c:v>
                </c:pt>
                <c:pt idx="6">
                  <c:v>1159</c:v>
                </c:pt>
                <c:pt idx="7">
                  <c:v>1194</c:v>
                </c:pt>
                <c:pt idx="8">
                  <c:v>1508</c:v>
                </c:pt>
                <c:pt idx="9">
                  <c:v>1629</c:v>
                </c:pt>
                <c:pt idx="10">
                  <c:v>1820</c:v>
                </c:pt>
                <c:pt idx="11">
                  <c:v>2545</c:v>
                </c:pt>
                <c:pt idx="12">
                  <c:v>2781</c:v>
                </c:pt>
                <c:pt idx="13">
                  <c:v>2947</c:v>
                </c:pt>
                <c:pt idx="14">
                  <c:v>3000</c:v>
                </c:pt>
                <c:pt idx="15">
                  <c:v>3604</c:v>
                </c:pt>
                <c:pt idx="16">
                  <c:v>6417</c:v>
                </c:pt>
                <c:pt idx="17">
                  <c:v>8084</c:v>
                </c:pt>
                <c:pt idx="18">
                  <c:v>10570</c:v>
                </c:pt>
                <c:pt idx="19">
                  <c:v>10971</c:v>
                </c:pt>
                <c:pt idx="20">
                  <c:v>11244</c:v>
                </c:pt>
              </c:numCache>
            </c:numRef>
          </c:val>
        </c:ser>
        <c:dLbls>
          <c:showLegendKey val="0"/>
          <c:showVal val="1"/>
          <c:showCatName val="0"/>
          <c:showSerName val="0"/>
          <c:showPercent val="0"/>
          <c:showBubbleSize val="0"/>
        </c:dLbls>
        <c:gapWidth val="150"/>
        <c:axId val="93118848"/>
        <c:axId val="93121920"/>
      </c:barChart>
      <c:catAx>
        <c:axId val="93118848"/>
        <c:scaling>
          <c:orientation val="minMax"/>
        </c:scaling>
        <c:delete val="0"/>
        <c:axPos val="l"/>
        <c:majorGridlines/>
        <c:title>
          <c:tx>
            <c:rich>
              <a:bodyPr/>
              <a:lstStyle/>
              <a:p>
                <a:pPr>
                  <a:defRPr sz="1000" b="1" i="0" u="none" strike="noStrike" baseline="0">
                    <a:solidFill>
                      <a:srgbClr val="000000"/>
                    </a:solidFill>
                    <a:latin typeface="Calibri"/>
                    <a:ea typeface="Calibri"/>
                    <a:cs typeface="Calibri"/>
                  </a:defRPr>
                </a:pPr>
                <a:r>
                  <a:rPr lang="pl-PL"/>
                  <a:t>Sekcje PKD</a:t>
                </a:r>
              </a:p>
            </c:rich>
          </c:tx>
          <c:overlay val="0"/>
        </c:title>
        <c:numFmt formatCode="General" sourceLinked="1"/>
        <c:majorTickMark val="out"/>
        <c:minorTickMark val="none"/>
        <c:tickLblPos val="nextTo"/>
        <c:txPr>
          <a:bodyPr rot="0" vert="horz"/>
          <a:lstStyle/>
          <a:p>
            <a:pPr>
              <a:defRPr sz="1000" b="0" i="0" u="none" strike="noStrike" baseline="0">
                <a:solidFill>
                  <a:srgbClr val="000000"/>
                </a:solidFill>
                <a:latin typeface="Calibri"/>
                <a:ea typeface="Calibri"/>
                <a:cs typeface="Calibri"/>
              </a:defRPr>
            </a:pPr>
            <a:endParaRPr lang="pl-PL"/>
          </a:p>
        </c:txPr>
        <c:crossAx val="93121920"/>
        <c:crosses val="autoZero"/>
        <c:auto val="1"/>
        <c:lblAlgn val="ctr"/>
        <c:lblOffset val="100"/>
        <c:noMultiLvlLbl val="0"/>
      </c:catAx>
      <c:valAx>
        <c:axId val="93121920"/>
        <c:scaling>
          <c:orientation val="minMax"/>
        </c:scaling>
        <c:delete val="0"/>
        <c:axPos val="b"/>
        <c:majorGridlines/>
        <c:title>
          <c:tx>
            <c:rich>
              <a:bodyPr/>
              <a:lstStyle/>
              <a:p>
                <a:pPr>
                  <a:defRPr sz="1000" b="1" i="0" u="none" strike="noStrike" baseline="0">
                    <a:solidFill>
                      <a:srgbClr val="000000"/>
                    </a:solidFill>
                    <a:latin typeface="Calibri"/>
                    <a:ea typeface="Calibri"/>
                    <a:cs typeface="Calibri"/>
                  </a:defRPr>
                </a:pPr>
                <a:r>
                  <a:rPr lang="pl-PL"/>
                  <a:t>Liczba ofert pracy</a:t>
                </a:r>
              </a:p>
            </c:rich>
          </c:tx>
          <c:overlay val="0"/>
        </c:title>
        <c:numFmt formatCode="0" sourceLinked="1"/>
        <c:majorTickMark val="out"/>
        <c:minorTickMark val="none"/>
        <c:tickLblPos val="nextTo"/>
        <c:txPr>
          <a:bodyPr rot="0" vert="horz"/>
          <a:lstStyle/>
          <a:p>
            <a:pPr>
              <a:defRPr sz="1000" b="0" i="0" u="none" strike="noStrike" baseline="0">
                <a:solidFill>
                  <a:srgbClr val="000000"/>
                </a:solidFill>
                <a:latin typeface="Calibri"/>
                <a:ea typeface="Calibri"/>
                <a:cs typeface="Calibri"/>
              </a:defRPr>
            </a:pPr>
            <a:endParaRPr lang="pl-PL"/>
          </a:p>
        </c:txPr>
        <c:crossAx val="93118848"/>
        <c:crosses val="autoZero"/>
        <c:crossBetween val="between"/>
      </c:valAx>
      <c:spPr>
        <a:solidFill>
          <a:srgbClr val="F9FEDA"/>
        </a:solidFill>
      </c:spPr>
    </c:plotArea>
    <c:plotVisOnly val="1"/>
    <c:dispBlanksAs val="gap"/>
    <c:showDLblsOverMax val="0"/>
  </c:chart>
  <c:spPr>
    <a:solidFill>
      <a:schemeClr val="lt1"/>
    </a:solidFill>
    <a:ln w="25400" cap="flat" cmpd="sng" algn="ctr">
      <a:solidFill>
        <a:schemeClr val="dk1"/>
      </a:solidFill>
      <a:prstDash val="solid"/>
    </a:ln>
    <a:effectLst/>
  </c:spPr>
  <c:txPr>
    <a:bodyPr/>
    <a:lstStyle/>
    <a:p>
      <a:pPr>
        <a:defRPr sz="1000" b="0" i="0" u="none" strike="noStrike" baseline="0">
          <a:solidFill>
            <a:srgbClr val="000000"/>
          </a:solidFill>
          <a:latin typeface="Calibri"/>
          <a:ea typeface="Calibri"/>
          <a:cs typeface="Calibri"/>
        </a:defRPr>
      </a:pPr>
      <a:endParaRPr lang="pl-PL"/>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00" b="1" i="0" u="none" strike="noStrike" baseline="0">
                <a:solidFill>
                  <a:srgbClr val="000000"/>
                </a:solidFill>
                <a:latin typeface="Calibri"/>
                <a:ea typeface="Calibri"/>
                <a:cs typeface="Calibri"/>
              </a:defRPr>
            </a:pPr>
            <a:r>
              <a:rPr lang="pl-PL"/>
              <a:t>Struktura napływu ofert pracy w 2013 r. w podziale </a:t>
            </a:r>
          </a:p>
          <a:p>
            <a:pPr>
              <a:defRPr sz="1100" b="1" i="0" u="none" strike="noStrike" baseline="0">
                <a:solidFill>
                  <a:srgbClr val="000000"/>
                </a:solidFill>
                <a:latin typeface="Calibri"/>
                <a:ea typeface="Calibri"/>
                <a:cs typeface="Calibri"/>
              </a:defRPr>
            </a:pPr>
            <a:r>
              <a:rPr lang="pl-PL"/>
              <a:t>na wielkie grupy zawodowe </a:t>
            </a:r>
          </a:p>
        </c:rich>
      </c:tx>
      <c:overlay val="0"/>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0.13352560681980868"/>
          <c:y val="0.33282633974550652"/>
          <c:w val="0.71481557561363374"/>
          <c:h val="0.62434656053493498"/>
        </c:manualLayout>
      </c:layout>
      <c:pie3DChart>
        <c:varyColors val="1"/>
        <c:ser>
          <c:idx val="0"/>
          <c:order val="0"/>
          <c:explosion val="22"/>
          <c:dLbls>
            <c:dLbl>
              <c:idx val="0"/>
              <c:layout>
                <c:manualLayout>
                  <c:x val="-0.17410468319559227"/>
                  <c:y val="-5.9071729957805935E-2"/>
                </c:manualLayout>
              </c:layout>
              <c:dLblPos val="bestFit"/>
              <c:showLegendKey val="0"/>
              <c:showVal val="1"/>
              <c:showCatName val="1"/>
              <c:showSerName val="0"/>
              <c:showPercent val="0"/>
              <c:showBubbleSize val="0"/>
              <c:separator>
</c:separator>
              <c:extLst>
                <c:ext xmlns:c15="http://schemas.microsoft.com/office/drawing/2012/chart" uri="{CE6537A1-D6FC-4f65-9D91-7224C49458BB}"/>
              </c:extLst>
            </c:dLbl>
            <c:dLbl>
              <c:idx val="1"/>
              <c:layout>
                <c:manualLayout>
                  <c:x val="4.4077134986225891E-3"/>
                  <c:y val="-2.8129395218002839E-2"/>
                </c:manualLayout>
              </c:layout>
              <c:dLblPos val="bestFit"/>
              <c:showLegendKey val="0"/>
              <c:showVal val="1"/>
              <c:showCatName val="1"/>
              <c:showSerName val="0"/>
              <c:showPercent val="0"/>
              <c:showBubbleSize val="0"/>
              <c:separator>
</c:separator>
              <c:extLst>
                <c:ext xmlns:c15="http://schemas.microsoft.com/office/drawing/2012/chart" uri="{CE6537A1-D6FC-4f65-9D91-7224C49458BB}"/>
              </c:extLst>
            </c:dLbl>
            <c:dLbl>
              <c:idx val="2"/>
              <c:layout>
                <c:manualLayout>
                  <c:x val="9.696969696969697E-2"/>
                  <c:y val="-8.1575246132208151E-2"/>
                </c:manualLayout>
              </c:layout>
              <c:dLblPos val="bestFit"/>
              <c:showLegendKey val="0"/>
              <c:showVal val="1"/>
              <c:showCatName val="1"/>
              <c:showSerName val="0"/>
              <c:showPercent val="0"/>
              <c:showBubbleSize val="0"/>
              <c:separator>
</c:separator>
              <c:extLst>
                <c:ext xmlns:c15="http://schemas.microsoft.com/office/drawing/2012/chart" uri="{CE6537A1-D6FC-4f65-9D91-7224C49458BB}"/>
              </c:extLst>
            </c:dLbl>
            <c:dLbl>
              <c:idx val="3"/>
              <c:layout>
                <c:manualLayout>
                  <c:x val="9.9173553719008267E-2"/>
                  <c:y val="-0.12939521800281295"/>
                </c:manualLayout>
              </c:layout>
              <c:dLblPos val="bestFit"/>
              <c:showLegendKey val="0"/>
              <c:showVal val="1"/>
              <c:showCatName val="1"/>
              <c:showSerName val="0"/>
              <c:showPercent val="0"/>
              <c:showBubbleSize val="0"/>
              <c:separator>
</c:separator>
              <c:extLst>
                <c:ext xmlns:c15="http://schemas.microsoft.com/office/drawing/2012/chart" uri="{CE6537A1-D6FC-4f65-9D91-7224C49458BB}"/>
              </c:extLst>
            </c:dLbl>
            <c:dLbl>
              <c:idx val="4"/>
              <c:layout>
                <c:manualLayout>
                  <c:x val="-1.5426997245179064E-2"/>
                  <c:y val="-9.8452883263009841E-2"/>
                </c:manualLayout>
              </c:layout>
              <c:dLblPos val="bestFit"/>
              <c:showLegendKey val="0"/>
              <c:showVal val="1"/>
              <c:showCatName val="1"/>
              <c:showSerName val="0"/>
              <c:showPercent val="0"/>
              <c:showBubbleSize val="0"/>
              <c:separator>
</c:separator>
              <c:extLst>
                <c:ext xmlns:c15="http://schemas.microsoft.com/office/drawing/2012/chart" uri="{CE6537A1-D6FC-4f65-9D91-7224C49458BB}"/>
              </c:extLst>
            </c:dLbl>
            <c:dLbl>
              <c:idx val="5"/>
              <c:layout>
                <c:manualLayout>
                  <c:x val="0.11900826446280992"/>
                  <c:y val="-6.4697609001406475E-2"/>
                </c:manualLayout>
              </c:layout>
              <c:dLblPos val="bestFit"/>
              <c:showLegendKey val="0"/>
              <c:showVal val="1"/>
              <c:showCatName val="1"/>
              <c:showSerName val="0"/>
              <c:showPercent val="0"/>
              <c:showBubbleSize val="0"/>
              <c:separator>
</c:separator>
              <c:extLst>
                <c:ext xmlns:c15="http://schemas.microsoft.com/office/drawing/2012/chart" uri="{CE6537A1-D6FC-4f65-9D91-7224C49458BB}"/>
              </c:extLst>
            </c:dLbl>
            <c:dLbl>
              <c:idx val="6"/>
              <c:layout>
                <c:manualLayout>
                  <c:x val="-0.16969696969696971"/>
                  <c:y val="0"/>
                </c:manualLayout>
              </c:layout>
              <c:dLblPos val="bestFit"/>
              <c:showLegendKey val="0"/>
              <c:showVal val="1"/>
              <c:showCatName val="1"/>
              <c:showSerName val="0"/>
              <c:showPercent val="0"/>
              <c:showBubbleSize val="0"/>
              <c:separator>
</c:separator>
              <c:extLst>
                <c:ext xmlns:c15="http://schemas.microsoft.com/office/drawing/2012/chart" uri="{CE6537A1-D6FC-4f65-9D91-7224C49458BB}"/>
              </c:extLst>
            </c:dLbl>
            <c:dLbl>
              <c:idx val="7"/>
              <c:layout>
                <c:manualLayout>
                  <c:x val="-3.7465564738292011E-2"/>
                  <c:y val="-0.2109704641350211"/>
                </c:manualLayout>
              </c:layout>
              <c:dLblPos val="bestFit"/>
              <c:showLegendKey val="0"/>
              <c:showVal val="1"/>
              <c:showCatName val="1"/>
              <c:showSerName val="0"/>
              <c:showPercent val="0"/>
              <c:showBubbleSize val="0"/>
              <c:separator>
</c:separator>
              <c:extLst>
                <c:ext xmlns:c15="http://schemas.microsoft.com/office/drawing/2012/chart" uri="{CE6537A1-D6FC-4f65-9D91-7224C49458BB}"/>
              </c:extLst>
            </c:dLbl>
            <c:dLbl>
              <c:idx val="8"/>
              <c:layout>
                <c:manualLayout>
                  <c:x val="1.1019283746556474E-2"/>
                  <c:y val="-9.5639943741209557E-2"/>
                </c:manualLayout>
              </c:layout>
              <c:dLblPos val="bestFit"/>
              <c:showLegendKey val="0"/>
              <c:showVal val="1"/>
              <c:showCatName val="1"/>
              <c:showSerName val="0"/>
              <c:showPercent val="0"/>
              <c:showBubbleSize val="0"/>
              <c:separator>
</c:separator>
              <c:extLst>
                <c:ext xmlns:c15="http://schemas.microsoft.com/office/drawing/2012/chart" uri="{CE6537A1-D6FC-4f65-9D91-7224C49458BB}"/>
              </c:extLst>
            </c:dLbl>
            <c:dLbl>
              <c:idx val="9"/>
              <c:layout>
                <c:manualLayout>
                  <c:x val="-0.14325068870523416"/>
                  <c:y val="-7.8762306610407881E-2"/>
                </c:manualLayout>
              </c:layout>
              <c:dLblPos val="bestFit"/>
              <c:showLegendKey val="0"/>
              <c:showVal val="1"/>
              <c:showCatName val="1"/>
              <c:showSerName val="0"/>
              <c:showPercent val="0"/>
              <c:showBubbleSize val="0"/>
              <c:separator>
</c:separator>
              <c:extLst>
                <c:ext xmlns:c15="http://schemas.microsoft.com/office/drawing/2012/chart" uri="{CE6537A1-D6FC-4f65-9D91-7224C49458BB}"/>
              </c:extLst>
            </c:dLbl>
            <c:spPr>
              <a:noFill/>
              <a:ln>
                <a:noFill/>
              </a:ln>
              <a:effectLst/>
            </c:spPr>
            <c:dLblPos val="outEnd"/>
            <c:showLegendKey val="0"/>
            <c:showVal val="1"/>
            <c:showCatName val="1"/>
            <c:showSerName val="0"/>
            <c:showPercent val="0"/>
            <c:showBubbleSize val="0"/>
            <c:separator>
</c:separator>
            <c:showLeaderLines val="1"/>
            <c:extLst>
              <c:ext xmlns:c15="http://schemas.microsoft.com/office/drawing/2012/chart" uri="{CE6537A1-D6FC-4f65-9D91-7224C49458BB}"/>
            </c:extLst>
          </c:dLbls>
          <c:cat>
            <c:strRef>
              <c:f>'Z3_wielkie rok'!$B$3:$B$12</c:f>
              <c:strCache>
                <c:ptCount val="10"/>
                <c:pt idx="0">
                  <c:v>Bez zawodu</c:v>
                </c:pt>
                <c:pt idx="1">
                  <c:v>Przedstawiciele władz publicznych, wyżsi urzędnicy</c:v>
                </c:pt>
                <c:pt idx="2">
                  <c:v>Specjaliści</c:v>
                </c:pt>
                <c:pt idx="3">
                  <c:v>Technicy i inny średni personel</c:v>
                </c:pt>
                <c:pt idx="4">
                  <c:v>Pracownicy biurowi</c:v>
                </c:pt>
                <c:pt idx="5">
                  <c:v>Pracownicy usług i sprzedawcy</c:v>
                </c:pt>
                <c:pt idx="6">
                  <c:v>Rolnicy, ogrodnicy, leśnicy i rybacy</c:v>
                </c:pt>
                <c:pt idx="7">
                  <c:v>Robotnicy przemysłowi i rzemieślnicy</c:v>
                </c:pt>
                <c:pt idx="8">
                  <c:v>Operatorzy i monterzy maszyn i urządzeń</c:v>
                </c:pt>
                <c:pt idx="9">
                  <c:v>Pracownicy przy pracach prostych</c:v>
                </c:pt>
              </c:strCache>
            </c:strRef>
          </c:cat>
          <c:val>
            <c:numRef>
              <c:f>'Z3_wielkie rok'!$R$3:$R$12</c:f>
              <c:numCache>
                <c:formatCode>General</c:formatCode>
                <c:ptCount val="10"/>
                <c:pt idx="0">
                  <c:v>350</c:v>
                </c:pt>
                <c:pt idx="1">
                  <c:v>615</c:v>
                </c:pt>
                <c:pt idx="2">
                  <c:v>5050</c:v>
                </c:pt>
                <c:pt idx="3">
                  <c:v>6445</c:v>
                </c:pt>
                <c:pt idx="4">
                  <c:v>8437</c:v>
                </c:pt>
                <c:pt idx="5">
                  <c:v>18823</c:v>
                </c:pt>
                <c:pt idx="6">
                  <c:v>652</c:v>
                </c:pt>
                <c:pt idx="7">
                  <c:v>13489</c:v>
                </c:pt>
                <c:pt idx="8">
                  <c:v>6421</c:v>
                </c:pt>
                <c:pt idx="9">
                  <c:v>11779</c:v>
                </c:pt>
              </c:numCache>
            </c:numRef>
          </c:val>
        </c:ser>
        <c:dLbls>
          <c:showLegendKey val="0"/>
          <c:showVal val="1"/>
          <c:showCatName val="0"/>
          <c:showSerName val="0"/>
          <c:showPercent val="0"/>
          <c:showBubbleSize val="0"/>
          <c:showLeaderLines val="1"/>
        </c:dLbls>
      </c:pie3DChart>
      <c:spPr>
        <a:noFill/>
        <a:ln w="25400">
          <a:noFill/>
        </a:ln>
      </c:spPr>
    </c:plotArea>
    <c:plotVisOnly val="1"/>
    <c:dispBlanksAs val="zero"/>
    <c:showDLblsOverMax val="0"/>
  </c:chart>
  <c:spPr>
    <a:solidFill>
      <a:srgbClr val="FCFDBF"/>
    </a:solidFill>
    <a:ln w="25400" cap="flat" cmpd="sng" algn="ctr">
      <a:solidFill>
        <a:schemeClr val="dk1"/>
      </a:solidFill>
      <a:prstDash val="solid"/>
    </a:ln>
    <a:effectLst/>
  </c:spPr>
  <c:txPr>
    <a:bodyPr/>
    <a:lstStyle/>
    <a:p>
      <a:pPr>
        <a:defRPr sz="1000" b="0" i="0" u="none" strike="noStrike" baseline="0">
          <a:solidFill>
            <a:srgbClr val="000000"/>
          </a:solidFill>
          <a:latin typeface="Calibri"/>
          <a:ea typeface="Calibri"/>
          <a:cs typeface="Calibri"/>
        </a:defRPr>
      </a:pPr>
      <a:endParaRPr lang="pl-PL"/>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title>
      <c:tx>
        <c:rich>
          <a:bodyPr/>
          <a:lstStyle/>
          <a:p>
            <a:pPr>
              <a:defRPr sz="1000" b="0" i="0" u="none" strike="noStrike" baseline="0">
                <a:solidFill>
                  <a:srgbClr val="000000"/>
                </a:solidFill>
                <a:latin typeface="Calibri"/>
                <a:ea typeface="Calibri"/>
                <a:cs typeface="Calibri"/>
              </a:defRPr>
            </a:pPr>
            <a:r>
              <a:rPr lang="pl-PL" sz="1200" b="1" i="0" u="none" strike="noStrike" baseline="0">
                <a:solidFill>
                  <a:srgbClr val="000000"/>
                </a:solidFill>
                <a:latin typeface="Calibri"/>
              </a:rPr>
              <a:t>Liczba ofert pracy zgłaszanych do PUP </a:t>
            </a:r>
          </a:p>
          <a:p>
            <a:pPr>
              <a:defRPr sz="1000" b="0" i="0" u="none" strike="noStrike" baseline="0">
                <a:solidFill>
                  <a:srgbClr val="000000"/>
                </a:solidFill>
                <a:latin typeface="Calibri"/>
                <a:ea typeface="Calibri"/>
                <a:cs typeface="Calibri"/>
              </a:defRPr>
            </a:pPr>
            <a:r>
              <a:rPr lang="pl-PL" sz="1200" b="1" i="0" u="none" strike="noStrike" baseline="0">
                <a:solidFill>
                  <a:srgbClr val="000000"/>
                </a:solidFill>
                <a:latin typeface="Calibri"/>
              </a:rPr>
              <a:t>w okresie grudzień 2012 r. - grudzień 2013 r</a:t>
            </a:r>
          </a:p>
        </c:rich>
      </c:tx>
      <c:overlay val="0"/>
    </c:title>
    <c:autoTitleDeleted val="0"/>
    <c:view3D>
      <c:rotX val="15"/>
      <c:rotY val="20"/>
      <c:depthPercent val="100"/>
      <c:rAngAx val="1"/>
    </c:view3D>
    <c:floor>
      <c:thickness val="0"/>
    </c:floor>
    <c:sideWall>
      <c:thickness val="0"/>
    </c:sideWall>
    <c:backWall>
      <c:thickness val="0"/>
    </c:backWall>
    <c:plotArea>
      <c:layout/>
      <c:bar3DChart>
        <c:barDir val="col"/>
        <c:grouping val="clustered"/>
        <c:varyColors val="0"/>
        <c:ser>
          <c:idx val="0"/>
          <c:order val="0"/>
          <c:tx>
            <c:strRef>
              <c:f>Oferty!$A$2</c:f>
              <c:strCache>
                <c:ptCount val="1"/>
                <c:pt idx="0">
                  <c:v>Liczba ofert pracy</c:v>
                </c:pt>
              </c:strCache>
            </c:strRef>
          </c:tx>
          <c:invertIfNegative val="0"/>
          <c:dLbls>
            <c:numFmt formatCode="#,##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Oferty!$H$1:$T$1</c:f>
              <c:strCache>
                <c:ptCount val="13"/>
                <c:pt idx="0">
                  <c:v>XII
2012</c:v>
                </c:pt>
                <c:pt idx="1">
                  <c:v>I
2013</c:v>
                </c:pt>
                <c:pt idx="2">
                  <c:v>II
2013</c:v>
                </c:pt>
                <c:pt idx="3">
                  <c:v>III
2013</c:v>
                </c:pt>
                <c:pt idx="4">
                  <c:v>IV
2013</c:v>
                </c:pt>
                <c:pt idx="5">
                  <c:v>V
2013</c:v>
                </c:pt>
                <c:pt idx="6">
                  <c:v>VI
2013</c:v>
                </c:pt>
                <c:pt idx="7">
                  <c:v>VII
2013</c:v>
                </c:pt>
                <c:pt idx="8">
                  <c:v>VIII
2013</c:v>
                </c:pt>
                <c:pt idx="9">
                  <c:v>IX
2013</c:v>
                </c:pt>
                <c:pt idx="10">
                  <c:v>X
2013</c:v>
                </c:pt>
                <c:pt idx="11">
                  <c:v>XI
2013</c:v>
                </c:pt>
                <c:pt idx="12">
                  <c:v>XII
2013</c:v>
                </c:pt>
              </c:strCache>
            </c:strRef>
          </c:cat>
          <c:val>
            <c:numRef>
              <c:f>Oferty!$H$2:$T$2</c:f>
              <c:numCache>
                <c:formatCode>General</c:formatCode>
                <c:ptCount val="13"/>
                <c:pt idx="0">
                  <c:v>2752</c:v>
                </c:pt>
                <c:pt idx="1">
                  <c:v>5223</c:v>
                </c:pt>
                <c:pt idx="2">
                  <c:v>6164</c:v>
                </c:pt>
                <c:pt idx="3">
                  <c:v>7177</c:v>
                </c:pt>
                <c:pt idx="4">
                  <c:v>6460</c:v>
                </c:pt>
                <c:pt idx="5">
                  <c:v>6260</c:v>
                </c:pt>
                <c:pt idx="6">
                  <c:v>6545</c:v>
                </c:pt>
                <c:pt idx="7">
                  <c:v>7271</c:v>
                </c:pt>
                <c:pt idx="8">
                  <c:v>7109</c:v>
                </c:pt>
                <c:pt idx="9">
                  <c:v>5690</c:v>
                </c:pt>
                <c:pt idx="10">
                  <c:v>6523</c:v>
                </c:pt>
                <c:pt idx="11">
                  <c:v>5127</c:v>
                </c:pt>
                <c:pt idx="12">
                  <c:v>3456</c:v>
                </c:pt>
              </c:numCache>
            </c:numRef>
          </c:val>
        </c:ser>
        <c:ser>
          <c:idx val="1"/>
          <c:order val="1"/>
          <c:tx>
            <c:strRef>
              <c:f>Oferty!$A$6</c:f>
              <c:strCache>
                <c:ptCount val="1"/>
                <c:pt idx="0">
                  <c:v>Liczba ofert pracy niesubsydiowanej</c:v>
                </c:pt>
              </c:strCache>
            </c:strRef>
          </c:tx>
          <c:invertIfNegative val="0"/>
          <c:dLbls>
            <c:spPr>
              <a:noFill/>
              <a:ln>
                <a:noFill/>
              </a:ln>
              <a:effectLst/>
            </c:spPr>
            <c:txPr>
              <a:bodyPr/>
              <a:lstStyle/>
              <a:p>
                <a:pPr>
                  <a:defRPr sz="1000" b="1" i="0" u="none" strike="noStrike" baseline="0">
                    <a:solidFill>
                      <a:srgbClr val="000000"/>
                    </a:solidFill>
                    <a:latin typeface="Calibri"/>
                    <a:ea typeface="Calibri"/>
                    <a:cs typeface="Calibri"/>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Oferty!$H$1:$T$1</c:f>
              <c:strCache>
                <c:ptCount val="13"/>
                <c:pt idx="0">
                  <c:v>XII
2012</c:v>
                </c:pt>
                <c:pt idx="1">
                  <c:v>I
2013</c:v>
                </c:pt>
                <c:pt idx="2">
                  <c:v>II
2013</c:v>
                </c:pt>
                <c:pt idx="3">
                  <c:v>III
2013</c:v>
                </c:pt>
                <c:pt idx="4">
                  <c:v>IV
2013</c:v>
                </c:pt>
                <c:pt idx="5">
                  <c:v>V
2013</c:v>
                </c:pt>
                <c:pt idx="6">
                  <c:v>VI
2013</c:v>
                </c:pt>
                <c:pt idx="7">
                  <c:v>VII
2013</c:v>
                </c:pt>
                <c:pt idx="8">
                  <c:v>VIII
2013</c:v>
                </c:pt>
                <c:pt idx="9">
                  <c:v>IX
2013</c:v>
                </c:pt>
                <c:pt idx="10">
                  <c:v>X
2013</c:v>
                </c:pt>
                <c:pt idx="11">
                  <c:v>XI
2013</c:v>
                </c:pt>
                <c:pt idx="12">
                  <c:v>XII
2013</c:v>
                </c:pt>
              </c:strCache>
            </c:strRef>
          </c:cat>
          <c:val>
            <c:numRef>
              <c:f>Oferty!$H$6:$T$6</c:f>
              <c:numCache>
                <c:formatCode>General</c:formatCode>
                <c:ptCount val="13"/>
                <c:pt idx="0">
                  <c:v>2053</c:v>
                </c:pt>
                <c:pt idx="1">
                  <c:v>3394</c:v>
                </c:pt>
                <c:pt idx="2">
                  <c:v>2537</c:v>
                </c:pt>
                <c:pt idx="3">
                  <c:v>2686</c:v>
                </c:pt>
                <c:pt idx="4">
                  <c:v>3272</c:v>
                </c:pt>
                <c:pt idx="5">
                  <c:v>3898</c:v>
                </c:pt>
                <c:pt idx="6">
                  <c:v>4351</c:v>
                </c:pt>
                <c:pt idx="7">
                  <c:v>5094</c:v>
                </c:pt>
                <c:pt idx="8">
                  <c:v>5376</c:v>
                </c:pt>
                <c:pt idx="9">
                  <c:v>4379</c:v>
                </c:pt>
                <c:pt idx="10">
                  <c:v>5561</c:v>
                </c:pt>
                <c:pt idx="11">
                  <c:v>4393</c:v>
                </c:pt>
                <c:pt idx="12">
                  <c:v>2710</c:v>
                </c:pt>
              </c:numCache>
            </c:numRef>
          </c:val>
        </c:ser>
        <c:dLbls>
          <c:showLegendKey val="0"/>
          <c:showVal val="1"/>
          <c:showCatName val="0"/>
          <c:showSerName val="0"/>
          <c:showPercent val="0"/>
          <c:showBubbleSize val="0"/>
        </c:dLbls>
        <c:gapWidth val="75"/>
        <c:shape val="cylinder"/>
        <c:axId val="93572480"/>
        <c:axId val="93574272"/>
        <c:axId val="0"/>
      </c:bar3DChart>
      <c:catAx>
        <c:axId val="93572480"/>
        <c:scaling>
          <c:orientation val="minMax"/>
        </c:scaling>
        <c:delete val="0"/>
        <c:axPos val="b"/>
        <c:majorGridlines/>
        <c:numFmt formatCode="General" sourceLinked="1"/>
        <c:majorTickMark val="none"/>
        <c:minorTickMark val="none"/>
        <c:tickLblPos val="nextTo"/>
        <c:txPr>
          <a:bodyPr rot="0" vert="horz"/>
          <a:lstStyle/>
          <a:p>
            <a:pPr>
              <a:defRPr sz="1000" b="1" i="0" u="none" strike="noStrike" baseline="0">
                <a:solidFill>
                  <a:srgbClr val="000000"/>
                </a:solidFill>
                <a:latin typeface="Calibri"/>
                <a:ea typeface="Calibri"/>
                <a:cs typeface="Calibri"/>
              </a:defRPr>
            </a:pPr>
            <a:endParaRPr lang="pl-PL"/>
          </a:p>
        </c:txPr>
        <c:crossAx val="93574272"/>
        <c:crosses val="autoZero"/>
        <c:auto val="1"/>
        <c:lblAlgn val="ctr"/>
        <c:lblOffset val="100"/>
        <c:noMultiLvlLbl val="0"/>
      </c:catAx>
      <c:valAx>
        <c:axId val="93574272"/>
        <c:scaling>
          <c:orientation val="minMax"/>
        </c:scaling>
        <c:delete val="0"/>
        <c:axPos val="l"/>
        <c:majorGridlines/>
        <c:numFmt formatCode="General" sourceLinked="1"/>
        <c:majorTickMark val="none"/>
        <c:minorTickMark val="none"/>
        <c:tickLblPos val="nextTo"/>
        <c:spPr>
          <a:ln w="9525">
            <a:noFill/>
          </a:ln>
        </c:spPr>
        <c:txPr>
          <a:bodyPr rot="0" vert="horz"/>
          <a:lstStyle/>
          <a:p>
            <a:pPr>
              <a:defRPr sz="1000" b="1" i="0" u="none" strike="noStrike" baseline="0">
                <a:solidFill>
                  <a:srgbClr val="000000"/>
                </a:solidFill>
                <a:latin typeface="Calibri"/>
                <a:ea typeface="Calibri"/>
                <a:cs typeface="Calibri"/>
              </a:defRPr>
            </a:pPr>
            <a:endParaRPr lang="pl-PL"/>
          </a:p>
        </c:txPr>
        <c:crossAx val="93572480"/>
        <c:crosses val="autoZero"/>
        <c:crossBetween val="between"/>
      </c:valAx>
      <c:spPr>
        <a:noFill/>
        <a:ln w="25400">
          <a:noFill/>
        </a:ln>
      </c:spPr>
    </c:plotArea>
    <c:legend>
      <c:legendPos val="b"/>
      <c:overlay val="0"/>
      <c:txPr>
        <a:bodyPr/>
        <a:lstStyle/>
        <a:p>
          <a:pPr>
            <a:defRPr sz="845" b="1" i="0" u="none" strike="noStrike" baseline="0">
              <a:solidFill>
                <a:srgbClr val="000000"/>
              </a:solidFill>
              <a:latin typeface="Calibri"/>
              <a:ea typeface="Calibri"/>
              <a:cs typeface="Calibri"/>
            </a:defRPr>
          </a:pPr>
          <a:endParaRPr lang="pl-PL"/>
        </a:p>
      </c:txPr>
    </c:legend>
    <c:plotVisOnly val="1"/>
    <c:dispBlanksAs val="gap"/>
    <c:showDLblsOverMax val="0"/>
  </c:chart>
  <c:spPr>
    <a:solidFill>
      <a:srgbClr val="FFFFCC"/>
    </a:solidFill>
    <a:ln w="25400" cap="flat" cmpd="sng" algn="ctr">
      <a:solidFill>
        <a:schemeClr val="dk1"/>
      </a:solidFill>
      <a:prstDash val="solid"/>
    </a:ln>
    <a:effectLst/>
  </c:spPr>
  <c:txPr>
    <a:bodyPr/>
    <a:lstStyle/>
    <a:p>
      <a:pPr>
        <a:defRPr sz="1000" b="0" i="0" u="none" strike="noStrike" baseline="0">
          <a:solidFill>
            <a:srgbClr val="000000"/>
          </a:solidFill>
          <a:latin typeface="Calibri"/>
          <a:ea typeface="Calibri"/>
          <a:cs typeface="Calibri"/>
        </a:defRPr>
      </a:pPr>
      <a:endParaRPr lang="pl-PL"/>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246879201075465"/>
          <c:y val="8.1506696908788048E-2"/>
          <c:w val="0.87332004993278278"/>
          <c:h val="0.76710886549017943"/>
        </c:manualLayout>
      </c:layout>
      <c:lineChart>
        <c:grouping val="standard"/>
        <c:varyColors val="0"/>
        <c:ser>
          <c:idx val="0"/>
          <c:order val="0"/>
          <c:tx>
            <c:v>Polska</c:v>
          </c:tx>
          <c:spPr>
            <a:ln w="25400">
              <a:solidFill>
                <a:srgbClr val="339966"/>
              </a:solidFill>
              <a:prstDash val="solid"/>
            </a:ln>
          </c:spPr>
          <c:marker>
            <c:spPr>
              <a:solidFill>
                <a:srgbClr val="00B050"/>
              </a:solidFill>
            </c:spPr>
          </c:marker>
          <c:dLbls>
            <c:dLbl>
              <c:idx val="0"/>
              <c:layout>
                <c:manualLayout>
                  <c:x val="-2.9157384290378337E-2"/>
                  <c:y val="4.3439108217708362E-2"/>
                </c:manualLayout>
              </c:layout>
              <c:numFmt formatCode="#,##0.0" sourceLinked="0"/>
              <c:spPr>
                <a:noFill/>
                <a:ln w="25400">
                  <a:noFill/>
                </a:ln>
              </c:spPr>
              <c:txPr>
                <a:bodyPr/>
                <a:lstStyle/>
                <a:p>
                  <a:pPr>
                    <a:defRPr sz="1000" b="1" i="0" u="none" strike="noStrike" baseline="0">
                      <a:solidFill>
                        <a:srgbClr val="000000"/>
                      </a:solidFill>
                      <a:latin typeface="Calibri"/>
                      <a:ea typeface="Calibri"/>
                      <a:cs typeface="Calibri"/>
                    </a:defRPr>
                  </a:pPr>
                  <a:endParaRPr lang="pl-PL"/>
                </a:p>
              </c:txPr>
              <c:dLblPos val="r"/>
              <c:showLegendKey val="0"/>
              <c:showVal val="1"/>
              <c:showCatName val="0"/>
              <c:showSerName val="0"/>
              <c:showPercent val="0"/>
              <c:showBubbleSize val="0"/>
              <c:extLst>
                <c:ext xmlns:c15="http://schemas.microsoft.com/office/drawing/2012/chart" uri="{CE6537A1-D6FC-4f65-9D91-7224C49458BB}"/>
              </c:extLst>
            </c:dLbl>
            <c:dLbl>
              <c:idx val="1"/>
              <c:layout>
                <c:manualLayout>
                  <c:x val="-3.9044444444444444E-2"/>
                  <c:y val="5.2763404574428623E-2"/>
                </c:manualLayout>
              </c:layout>
              <c:numFmt formatCode="#,##0.0" sourceLinked="0"/>
              <c:spPr>
                <a:noFill/>
                <a:ln w="25400">
                  <a:noFill/>
                </a:ln>
              </c:spPr>
              <c:txPr>
                <a:bodyPr/>
                <a:lstStyle/>
                <a:p>
                  <a:pPr>
                    <a:defRPr sz="1000" b="1" i="0" u="none" strike="noStrike" baseline="0">
                      <a:solidFill>
                        <a:srgbClr val="000000"/>
                      </a:solidFill>
                      <a:latin typeface="Calibri"/>
                      <a:ea typeface="Calibri"/>
                      <a:cs typeface="Calibri"/>
                    </a:defRPr>
                  </a:pPr>
                  <a:endParaRPr lang="pl-PL"/>
                </a:p>
              </c:txPr>
              <c:dLblPos val="r"/>
              <c:showLegendKey val="0"/>
              <c:showVal val="1"/>
              <c:showCatName val="0"/>
              <c:showSerName val="0"/>
              <c:showPercent val="0"/>
              <c:showBubbleSize val="0"/>
              <c:extLst>
                <c:ext xmlns:c15="http://schemas.microsoft.com/office/drawing/2012/chart" uri="{CE6537A1-D6FC-4f65-9D91-7224C49458BB}"/>
              </c:extLst>
            </c:dLbl>
            <c:dLbl>
              <c:idx val="2"/>
              <c:layout>
                <c:manualLayout>
                  <c:x val="-4.3488888888888889E-2"/>
                  <c:y val="4.3395723075599128E-2"/>
                </c:manualLayout>
              </c:layout>
              <c:numFmt formatCode="#,##0.0" sourceLinked="0"/>
              <c:spPr>
                <a:noFill/>
                <a:ln w="25400">
                  <a:noFill/>
                </a:ln>
              </c:spPr>
              <c:txPr>
                <a:bodyPr/>
                <a:lstStyle/>
                <a:p>
                  <a:pPr>
                    <a:defRPr sz="1000" b="1" i="0" u="none" strike="noStrike" baseline="0">
                      <a:solidFill>
                        <a:srgbClr val="000000"/>
                      </a:solidFill>
                      <a:latin typeface="Calibri"/>
                      <a:ea typeface="Calibri"/>
                      <a:cs typeface="Calibri"/>
                    </a:defRPr>
                  </a:pPr>
                  <a:endParaRPr lang="pl-PL"/>
                </a:p>
              </c:txPr>
              <c:dLblPos val="r"/>
              <c:showLegendKey val="0"/>
              <c:showVal val="1"/>
              <c:showCatName val="0"/>
              <c:showSerName val="0"/>
              <c:showPercent val="0"/>
              <c:showBubbleSize val="0"/>
              <c:extLst>
                <c:ext xmlns:c15="http://schemas.microsoft.com/office/drawing/2012/chart" uri="{CE6537A1-D6FC-4f65-9D91-7224C49458BB}"/>
              </c:extLst>
            </c:dLbl>
            <c:dLbl>
              <c:idx val="3"/>
              <c:layout>
                <c:manualLayout>
                  <c:x val="-4.5711111111111452E-2"/>
                  <c:y val="4.6518283575208902E-2"/>
                </c:manualLayout>
              </c:layout>
              <c:numFmt formatCode="#,##0.0" sourceLinked="0"/>
              <c:spPr>
                <a:noFill/>
                <a:ln w="25400">
                  <a:noFill/>
                </a:ln>
              </c:spPr>
              <c:txPr>
                <a:bodyPr/>
                <a:lstStyle/>
                <a:p>
                  <a:pPr>
                    <a:defRPr sz="1000" b="1" i="0" u="none" strike="noStrike" baseline="0">
                      <a:solidFill>
                        <a:srgbClr val="000000"/>
                      </a:solidFill>
                      <a:latin typeface="Calibri"/>
                      <a:ea typeface="Calibri"/>
                      <a:cs typeface="Calibri"/>
                    </a:defRPr>
                  </a:pPr>
                  <a:endParaRPr lang="pl-PL"/>
                </a:p>
              </c:txPr>
              <c:dLblPos val="r"/>
              <c:showLegendKey val="0"/>
              <c:showVal val="1"/>
              <c:showCatName val="0"/>
              <c:showSerName val="0"/>
              <c:showPercent val="0"/>
              <c:showBubbleSize val="0"/>
              <c:extLst>
                <c:ext xmlns:c15="http://schemas.microsoft.com/office/drawing/2012/chart" uri="{CE6537A1-D6FC-4f65-9D91-7224C49458BB}"/>
              </c:extLst>
            </c:dLbl>
            <c:dLbl>
              <c:idx val="4"/>
              <c:layout>
                <c:manualLayout>
                  <c:x val="-5.1529511554958066E-2"/>
                  <c:y val="4.8952968315307772E-2"/>
                </c:manualLayout>
              </c:layout>
              <c:numFmt formatCode="#,##0.0" sourceLinked="0"/>
              <c:spPr>
                <a:noFill/>
                <a:ln w="25400">
                  <a:noFill/>
                </a:ln>
              </c:spPr>
              <c:txPr>
                <a:bodyPr/>
                <a:lstStyle/>
                <a:p>
                  <a:pPr>
                    <a:defRPr sz="1000" b="1" i="0" u="none" strike="noStrike" baseline="0">
                      <a:solidFill>
                        <a:srgbClr val="000000"/>
                      </a:solidFill>
                      <a:latin typeface="Calibri"/>
                      <a:ea typeface="Calibri"/>
                      <a:cs typeface="Calibri"/>
                    </a:defRPr>
                  </a:pPr>
                  <a:endParaRPr lang="pl-PL"/>
                </a:p>
              </c:txPr>
              <c:dLblPos val="r"/>
              <c:showLegendKey val="0"/>
              <c:showVal val="1"/>
              <c:showCatName val="0"/>
              <c:showSerName val="0"/>
              <c:showPercent val="0"/>
              <c:showBubbleSize val="0"/>
              <c:extLst>
                <c:ext xmlns:c15="http://schemas.microsoft.com/office/drawing/2012/chart" uri="{CE6537A1-D6FC-4f65-9D91-7224C49458BB}"/>
              </c:extLst>
            </c:dLbl>
            <c:dLbl>
              <c:idx val="5"/>
              <c:layout>
                <c:manualLayout>
                  <c:x val="-7.1894488188976313E-2"/>
                  <c:y val="3.0905481077160436E-2"/>
                </c:manualLayout>
              </c:layout>
              <c:numFmt formatCode="#,##0.0" sourceLinked="0"/>
              <c:spPr>
                <a:noFill/>
                <a:ln w="25400">
                  <a:noFill/>
                </a:ln>
              </c:spPr>
              <c:txPr>
                <a:bodyPr/>
                <a:lstStyle/>
                <a:p>
                  <a:pPr>
                    <a:defRPr sz="1000" b="1" i="0" u="none" strike="noStrike" baseline="0">
                      <a:solidFill>
                        <a:srgbClr val="000000"/>
                      </a:solidFill>
                      <a:latin typeface="Calibri"/>
                      <a:ea typeface="Calibri"/>
                      <a:cs typeface="Calibri"/>
                    </a:defRPr>
                  </a:pPr>
                  <a:endParaRPr lang="pl-PL"/>
                </a:p>
              </c:txPr>
              <c:dLblPos val="r"/>
              <c:showLegendKey val="0"/>
              <c:showVal val="1"/>
              <c:showCatName val="0"/>
              <c:showSerName val="0"/>
              <c:showPercent val="0"/>
              <c:showBubbleSize val="0"/>
              <c:extLst>
                <c:ext xmlns:c15="http://schemas.microsoft.com/office/drawing/2012/chart" uri="{CE6537A1-D6FC-4f65-9D91-7224C49458BB}"/>
              </c:extLst>
            </c:dLbl>
            <c:dLbl>
              <c:idx val="6"/>
              <c:layout>
                <c:manualLayout>
                  <c:x val="-5.8561154855643408E-2"/>
                  <c:y val="3.7150602076380011E-2"/>
                </c:manualLayout>
              </c:layout>
              <c:numFmt formatCode="#,##0.0" sourceLinked="0"/>
              <c:spPr>
                <a:noFill/>
                <a:ln w="25400">
                  <a:noFill/>
                </a:ln>
              </c:spPr>
              <c:txPr>
                <a:bodyPr/>
                <a:lstStyle/>
                <a:p>
                  <a:pPr>
                    <a:defRPr sz="1000" b="1" i="0" u="none" strike="noStrike" baseline="0">
                      <a:solidFill>
                        <a:srgbClr val="000000"/>
                      </a:solidFill>
                      <a:latin typeface="Calibri"/>
                      <a:ea typeface="Calibri"/>
                      <a:cs typeface="Calibri"/>
                    </a:defRPr>
                  </a:pPr>
                  <a:endParaRPr lang="pl-PL"/>
                </a:p>
              </c:txPr>
              <c:dLblPos val="r"/>
              <c:showLegendKey val="0"/>
              <c:showVal val="1"/>
              <c:showCatName val="0"/>
              <c:showSerName val="0"/>
              <c:showPercent val="0"/>
              <c:showBubbleSize val="0"/>
              <c:extLst>
                <c:ext xmlns:c15="http://schemas.microsoft.com/office/drawing/2012/chart" uri="{CE6537A1-D6FC-4f65-9D91-7224C49458BB}"/>
              </c:extLst>
            </c:dLbl>
            <c:dLbl>
              <c:idx val="7"/>
              <c:layout>
                <c:manualLayout>
                  <c:x val="-4.3399430254145541E-2"/>
                  <c:y val="4.8952980184636591E-2"/>
                </c:manualLayout>
              </c:layout>
              <c:numFmt formatCode="#,##0.0" sourceLinked="0"/>
              <c:spPr>
                <a:noFill/>
                <a:ln w="25400">
                  <a:noFill/>
                </a:ln>
              </c:spPr>
              <c:txPr>
                <a:bodyPr/>
                <a:lstStyle/>
                <a:p>
                  <a:pPr>
                    <a:defRPr sz="1000" b="1" i="0" u="none" strike="noStrike" baseline="0">
                      <a:solidFill>
                        <a:srgbClr val="000000"/>
                      </a:solidFill>
                      <a:latin typeface="Calibri"/>
                      <a:ea typeface="Calibri"/>
                      <a:cs typeface="Calibri"/>
                    </a:defRPr>
                  </a:pPr>
                  <a:endParaRPr lang="pl-PL"/>
                </a:p>
              </c:txPr>
              <c:dLblPos val="r"/>
              <c:showLegendKey val="0"/>
              <c:showVal val="1"/>
              <c:showCatName val="0"/>
              <c:showSerName val="0"/>
              <c:showPercent val="0"/>
              <c:showBubbleSize val="0"/>
              <c:extLst>
                <c:ext xmlns:c15="http://schemas.microsoft.com/office/drawing/2012/chart" uri="{CE6537A1-D6FC-4f65-9D91-7224C49458BB}"/>
              </c:extLst>
            </c:dLbl>
            <c:dLbl>
              <c:idx val="8"/>
              <c:layout>
                <c:manualLayout>
                  <c:x val="-3.2653393073340496E-2"/>
                  <c:y val="3.5364153738208469E-2"/>
                </c:manualLayout>
              </c:layout>
              <c:numFmt formatCode="#,##0.0" sourceLinked="0"/>
              <c:spPr>
                <a:noFill/>
                <a:ln w="25400">
                  <a:noFill/>
                </a:ln>
              </c:spPr>
              <c:txPr>
                <a:bodyPr/>
                <a:lstStyle/>
                <a:p>
                  <a:pPr>
                    <a:defRPr sz="1000" b="1" i="0" u="none" strike="noStrike" baseline="0">
                      <a:solidFill>
                        <a:srgbClr val="000000"/>
                      </a:solidFill>
                      <a:latin typeface="Calibri"/>
                      <a:ea typeface="Calibri"/>
                      <a:cs typeface="Calibri"/>
                    </a:defRPr>
                  </a:pPr>
                  <a:endParaRPr lang="pl-PL"/>
                </a:p>
              </c:txPr>
              <c:dLblPos val="r"/>
              <c:showLegendKey val="0"/>
              <c:showVal val="1"/>
              <c:showCatName val="0"/>
              <c:showSerName val="0"/>
              <c:showPercent val="0"/>
              <c:showBubbleSize val="0"/>
              <c:extLst>
                <c:ext xmlns:c15="http://schemas.microsoft.com/office/drawing/2012/chart" uri="{CE6537A1-D6FC-4f65-9D91-7224C49458BB}"/>
              </c:extLst>
            </c:dLbl>
            <c:dLbl>
              <c:idx val="9"/>
              <c:layout>
                <c:manualLayout>
                  <c:x val="-2.8083189296459893E-2"/>
                  <c:y val="5.1162553872451853E-2"/>
                </c:manualLayout>
              </c:layout>
              <c:numFmt formatCode="#,##0.0" sourceLinked="0"/>
              <c:spPr>
                <a:noFill/>
                <a:ln w="25400">
                  <a:noFill/>
                </a:ln>
              </c:spPr>
              <c:txPr>
                <a:bodyPr/>
                <a:lstStyle/>
                <a:p>
                  <a:pPr>
                    <a:defRPr sz="1000" b="1" i="0" u="none" strike="noStrike" baseline="0">
                      <a:solidFill>
                        <a:srgbClr val="000000"/>
                      </a:solidFill>
                      <a:latin typeface="Calibri"/>
                      <a:ea typeface="Calibri"/>
                      <a:cs typeface="Calibri"/>
                    </a:defRPr>
                  </a:pPr>
                  <a:endParaRPr lang="pl-PL"/>
                </a:p>
              </c:txPr>
              <c:dLblPos val="r"/>
              <c:showLegendKey val="0"/>
              <c:showVal val="1"/>
              <c:showCatName val="0"/>
              <c:showSerName val="0"/>
              <c:showPercent val="0"/>
              <c:showBubbleSize val="0"/>
              <c:extLst>
                <c:ext xmlns:c15="http://schemas.microsoft.com/office/drawing/2012/chart" uri="{CE6537A1-D6FC-4f65-9D91-7224C49458BB}"/>
              </c:extLst>
            </c:dLbl>
            <c:dLbl>
              <c:idx val="10"/>
              <c:layout>
                <c:manualLayout>
                  <c:x val="-2.3719672236092428E-2"/>
                  <c:y val="4.2794396658847621E-2"/>
                </c:manualLayout>
              </c:layout>
              <c:numFmt formatCode="#,##0.0" sourceLinked="0"/>
              <c:spPr>
                <a:noFill/>
                <a:ln w="25400">
                  <a:noFill/>
                </a:ln>
              </c:spPr>
              <c:txPr>
                <a:bodyPr/>
                <a:lstStyle/>
                <a:p>
                  <a:pPr>
                    <a:defRPr sz="1000" b="1" i="0" u="none" strike="noStrike" baseline="0">
                      <a:solidFill>
                        <a:srgbClr val="000000"/>
                      </a:solidFill>
                      <a:latin typeface="Calibri"/>
                      <a:ea typeface="Calibri"/>
                      <a:cs typeface="Calibri"/>
                    </a:defRPr>
                  </a:pPr>
                  <a:endParaRPr lang="pl-PL"/>
                </a:p>
              </c:txPr>
              <c:dLblPos val="r"/>
              <c:showLegendKey val="0"/>
              <c:showVal val="1"/>
              <c:showCatName val="0"/>
              <c:showSerName val="0"/>
              <c:showPercent val="0"/>
              <c:showBubbleSize val="0"/>
              <c:extLst>
                <c:ext xmlns:c15="http://schemas.microsoft.com/office/drawing/2012/chart" uri="{CE6537A1-D6FC-4f65-9D91-7224C49458BB}"/>
              </c:extLst>
            </c:dLbl>
            <c:dLbl>
              <c:idx val="11"/>
              <c:layout>
                <c:manualLayout>
                  <c:x val="-2.6711029808142668E-2"/>
                  <c:y val="4.7307918193394145E-2"/>
                </c:manualLayout>
              </c:layout>
              <c:numFmt formatCode="#,##0.0" sourceLinked="0"/>
              <c:spPr>
                <a:noFill/>
                <a:ln w="25400">
                  <a:noFill/>
                </a:ln>
              </c:spPr>
              <c:txPr>
                <a:bodyPr/>
                <a:lstStyle/>
                <a:p>
                  <a:pPr>
                    <a:defRPr sz="1000" b="1" i="0" u="none" strike="noStrike" baseline="0">
                      <a:solidFill>
                        <a:srgbClr val="000000"/>
                      </a:solidFill>
                      <a:latin typeface="Calibri"/>
                      <a:ea typeface="Calibri"/>
                      <a:cs typeface="Calibri"/>
                    </a:defRPr>
                  </a:pPr>
                  <a:endParaRPr lang="pl-PL"/>
                </a:p>
              </c:txPr>
              <c:dLblPos val="r"/>
              <c:showLegendKey val="0"/>
              <c:showVal val="1"/>
              <c:showCatName val="0"/>
              <c:showSerName val="0"/>
              <c:showPercent val="0"/>
              <c:showBubbleSize val="0"/>
              <c:extLst>
                <c:ext xmlns:c15="http://schemas.microsoft.com/office/drawing/2012/chart" uri="{CE6537A1-D6FC-4f65-9D91-7224C49458BB}"/>
              </c:extLst>
            </c:dLbl>
            <c:dLbl>
              <c:idx val="12"/>
              <c:layout>
                <c:manualLayout>
                  <c:x val="-1.8855395600802426E-2"/>
                  <c:y val="-4.2575919389386672E-2"/>
                </c:manualLayout>
              </c:layout>
              <c:numFmt formatCode="#,##0.0" sourceLinked="0"/>
              <c:spPr>
                <a:noFill/>
                <a:ln w="25400">
                  <a:noFill/>
                </a:ln>
              </c:spPr>
              <c:txPr>
                <a:bodyPr/>
                <a:lstStyle/>
                <a:p>
                  <a:pPr>
                    <a:defRPr sz="1000" b="1" i="0" u="none" strike="noStrike" baseline="0">
                      <a:solidFill>
                        <a:srgbClr val="000000"/>
                      </a:solidFill>
                      <a:latin typeface="Calibri"/>
                      <a:ea typeface="Calibri"/>
                      <a:cs typeface="Calibri"/>
                    </a:defRPr>
                  </a:pPr>
                  <a:endParaRPr lang="pl-PL"/>
                </a:p>
              </c:txPr>
              <c:dLblPos val="r"/>
              <c:showLegendKey val="0"/>
              <c:showVal val="1"/>
              <c:showCatName val="0"/>
              <c:showSerName val="0"/>
              <c:showPercent val="0"/>
              <c:showBubbleSize val="0"/>
              <c:extLst>
                <c:ext xmlns:c15="http://schemas.microsoft.com/office/drawing/2012/chart" uri="{CE6537A1-D6FC-4f65-9D91-7224C49458BB}"/>
              </c:extLst>
            </c:dLbl>
            <c:numFmt formatCode="#,##0.0" sourceLinked="0"/>
            <c:spPr>
              <a:noFill/>
              <a:ln w="25400">
                <a:noFill/>
              </a:ln>
            </c:spPr>
            <c:txPr>
              <a:bodyPr wrap="square" lIns="38100" tIns="19050" rIns="38100" bIns="19050" anchor="ctr">
                <a:spAutoFit/>
              </a:bodyPr>
              <a:lstStyle/>
              <a:p>
                <a:pPr>
                  <a:defRPr sz="1000" b="1" i="0" u="none" strike="noStrike" baseline="0">
                    <a:solidFill>
                      <a:srgbClr val="000000"/>
                    </a:solidFill>
                    <a:latin typeface="Calibri"/>
                    <a:ea typeface="Calibri"/>
                    <a:cs typeface="Calibri"/>
                  </a:defRPr>
                </a:pPr>
                <a:endParaRPr lang="pl-PL"/>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Wykresy!$B$1:$N$1</c:f>
              <c:strCache>
                <c:ptCount val="13"/>
                <c:pt idx="0">
                  <c:v>XII
2001</c:v>
                </c:pt>
                <c:pt idx="1">
                  <c:v>XII
2002</c:v>
                </c:pt>
                <c:pt idx="2">
                  <c:v>XII
2003</c:v>
                </c:pt>
                <c:pt idx="3">
                  <c:v>XII
2004</c:v>
                </c:pt>
                <c:pt idx="4">
                  <c:v>XII
2005</c:v>
                </c:pt>
                <c:pt idx="5">
                  <c:v>XII
2006</c:v>
                </c:pt>
                <c:pt idx="6">
                  <c:v>XII
2007</c:v>
                </c:pt>
                <c:pt idx="7">
                  <c:v>XII
2008</c:v>
                </c:pt>
                <c:pt idx="8">
                  <c:v>XII
2009</c:v>
                </c:pt>
                <c:pt idx="9">
                  <c:v>XII
2010</c:v>
                </c:pt>
                <c:pt idx="10">
                  <c:v>XII
2011</c:v>
                </c:pt>
                <c:pt idx="11">
                  <c:v>XII
2012</c:v>
                </c:pt>
                <c:pt idx="12">
                  <c:v>XII
2013</c:v>
                </c:pt>
              </c:strCache>
            </c:strRef>
          </c:cat>
          <c:val>
            <c:numRef>
              <c:f>Wykresy!$B$2:$N$2</c:f>
              <c:numCache>
                <c:formatCode>0.0</c:formatCode>
                <c:ptCount val="13"/>
                <c:pt idx="0">
                  <c:v>19.399999999999999</c:v>
                </c:pt>
                <c:pt idx="1">
                  <c:v>20</c:v>
                </c:pt>
                <c:pt idx="2">
                  <c:v>20</c:v>
                </c:pt>
                <c:pt idx="3">
                  <c:v>19</c:v>
                </c:pt>
                <c:pt idx="4">
                  <c:v>17.600000000000001</c:v>
                </c:pt>
                <c:pt idx="5">
                  <c:v>14.8</c:v>
                </c:pt>
                <c:pt idx="6">
                  <c:v>11.2</c:v>
                </c:pt>
                <c:pt idx="7">
                  <c:v>9.5</c:v>
                </c:pt>
                <c:pt idx="8">
                  <c:v>12.1</c:v>
                </c:pt>
                <c:pt idx="9">
                  <c:v>12.4</c:v>
                </c:pt>
                <c:pt idx="10">
                  <c:v>12.5</c:v>
                </c:pt>
                <c:pt idx="11">
                  <c:v>13.4</c:v>
                </c:pt>
                <c:pt idx="12">
                  <c:v>13.4</c:v>
                </c:pt>
              </c:numCache>
            </c:numRef>
          </c:val>
          <c:smooth val="0"/>
        </c:ser>
        <c:ser>
          <c:idx val="1"/>
          <c:order val="1"/>
          <c:tx>
            <c:v>woj. dolnośląskie</c:v>
          </c:tx>
          <c:spPr>
            <a:ln w="25400">
              <a:solidFill>
                <a:srgbClr val="993366"/>
              </a:solidFill>
              <a:prstDash val="solid"/>
            </a:ln>
          </c:spPr>
          <c:dLbls>
            <c:dLbl>
              <c:idx val="0"/>
              <c:layout>
                <c:manualLayout>
                  <c:x val="-5.5555555555555455E-2"/>
                  <c:y val="-3.4348165495706483E-2"/>
                </c:manualLayout>
              </c:layout>
              <c:numFmt formatCode="#,##0.0" sourceLinked="0"/>
              <c:spPr>
                <a:noFill/>
                <a:ln w="25400">
                  <a:noFill/>
                </a:ln>
              </c:spPr>
              <c:txPr>
                <a:bodyPr/>
                <a:lstStyle/>
                <a:p>
                  <a:pPr>
                    <a:defRPr sz="1000" b="1" i="0" u="none" strike="noStrike" baseline="0">
                      <a:solidFill>
                        <a:srgbClr val="FF0000"/>
                      </a:solidFill>
                      <a:latin typeface="Calibri"/>
                      <a:ea typeface="Calibri"/>
                      <a:cs typeface="Calibri"/>
                    </a:defRPr>
                  </a:pPr>
                  <a:endParaRPr lang="pl-PL"/>
                </a:p>
              </c:txPr>
              <c:dLblPos val="r"/>
              <c:showLegendKey val="0"/>
              <c:showVal val="1"/>
              <c:showCatName val="0"/>
              <c:showSerName val="0"/>
              <c:showPercent val="0"/>
              <c:showBubbleSize val="0"/>
              <c:extLst>
                <c:ext xmlns:c15="http://schemas.microsoft.com/office/drawing/2012/chart" uri="{CE6537A1-D6FC-4f65-9D91-7224C49458BB}"/>
              </c:extLst>
            </c:dLbl>
            <c:dLbl>
              <c:idx val="1"/>
              <c:layout>
                <c:manualLayout>
                  <c:x val="-7.5555555555555556E-2"/>
                  <c:y val="-1.5612802498048401E-2"/>
                </c:manualLayout>
              </c:layout>
              <c:numFmt formatCode="#,##0.0" sourceLinked="0"/>
              <c:spPr>
                <a:noFill/>
                <a:ln w="25400">
                  <a:noFill/>
                </a:ln>
              </c:spPr>
              <c:txPr>
                <a:bodyPr/>
                <a:lstStyle/>
                <a:p>
                  <a:pPr>
                    <a:defRPr sz="1000" b="1" i="0" u="none" strike="noStrike" baseline="0">
                      <a:solidFill>
                        <a:srgbClr val="FF0000"/>
                      </a:solidFill>
                      <a:latin typeface="Calibri"/>
                      <a:ea typeface="Calibri"/>
                      <a:cs typeface="Calibri"/>
                    </a:defRPr>
                  </a:pPr>
                  <a:endParaRPr lang="pl-PL"/>
                </a:p>
              </c:txPr>
              <c:dLblPos val="r"/>
              <c:showLegendKey val="0"/>
              <c:showVal val="1"/>
              <c:showCatName val="0"/>
              <c:showSerName val="0"/>
              <c:showPercent val="0"/>
              <c:showBubbleSize val="0"/>
              <c:extLst>
                <c:ext xmlns:c15="http://schemas.microsoft.com/office/drawing/2012/chart" uri="{CE6537A1-D6FC-4f65-9D91-7224C49458BB}"/>
              </c:extLst>
            </c:dLbl>
            <c:dLbl>
              <c:idx val="2"/>
              <c:layout>
                <c:manualLayout>
                  <c:x val="-7.5555555555555515E-2"/>
                  <c:y val="-1.873536299765808E-2"/>
                </c:manualLayout>
              </c:layout>
              <c:numFmt formatCode="#,##0.0" sourceLinked="0"/>
              <c:spPr>
                <a:noFill/>
                <a:ln w="25400">
                  <a:noFill/>
                </a:ln>
              </c:spPr>
              <c:txPr>
                <a:bodyPr/>
                <a:lstStyle/>
                <a:p>
                  <a:pPr>
                    <a:defRPr sz="1000" b="1" i="0" u="none" strike="noStrike" baseline="0">
                      <a:solidFill>
                        <a:srgbClr val="FF0000"/>
                      </a:solidFill>
                      <a:latin typeface="Calibri"/>
                      <a:ea typeface="Calibri"/>
                      <a:cs typeface="Calibri"/>
                    </a:defRPr>
                  </a:pPr>
                  <a:endParaRPr lang="pl-PL"/>
                </a:p>
              </c:txPr>
              <c:dLblPos val="r"/>
              <c:showLegendKey val="0"/>
              <c:showVal val="1"/>
              <c:showCatName val="0"/>
              <c:showSerName val="0"/>
              <c:showPercent val="0"/>
              <c:showBubbleSize val="0"/>
              <c:extLst>
                <c:ext xmlns:c15="http://schemas.microsoft.com/office/drawing/2012/chart" uri="{CE6537A1-D6FC-4f65-9D91-7224C49458BB}"/>
              </c:extLst>
            </c:dLbl>
            <c:dLbl>
              <c:idx val="3"/>
              <c:layout>
                <c:manualLayout>
                  <c:x val="-3.333333333333334E-2"/>
                  <c:y val="-3.1225604996096789E-2"/>
                </c:manualLayout>
              </c:layout>
              <c:numFmt formatCode="#,##0.0" sourceLinked="0"/>
              <c:spPr>
                <a:noFill/>
                <a:ln w="25400">
                  <a:noFill/>
                </a:ln>
              </c:spPr>
              <c:txPr>
                <a:bodyPr/>
                <a:lstStyle/>
                <a:p>
                  <a:pPr>
                    <a:defRPr sz="1000" b="1" i="0" u="none" strike="noStrike" baseline="0">
                      <a:solidFill>
                        <a:srgbClr val="FF0000"/>
                      </a:solidFill>
                      <a:latin typeface="Calibri"/>
                      <a:ea typeface="Calibri"/>
                      <a:cs typeface="Calibri"/>
                    </a:defRPr>
                  </a:pPr>
                  <a:endParaRPr lang="pl-PL"/>
                </a:p>
              </c:txPr>
              <c:dLblPos val="r"/>
              <c:showLegendKey val="0"/>
              <c:showVal val="1"/>
              <c:showCatName val="0"/>
              <c:showSerName val="0"/>
              <c:showPercent val="0"/>
              <c:showBubbleSize val="0"/>
              <c:extLst>
                <c:ext xmlns:c15="http://schemas.microsoft.com/office/drawing/2012/chart" uri="{CE6537A1-D6FC-4f65-9D91-7224C49458BB}"/>
              </c:extLst>
            </c:dLbl>
            <c:dLbl>
              <c:idx val="4"/>
              <c:layout>
                <c:manualLayout>
                  <c:x val="-2.0000000000000011E-2"/>
                  <c:y val="-4.3715846994535519E-2"/>
                </c:manualLayout>
              </c:layout>
              <c:numFmt formatCode="#,##0.0" sourceLinked="0"/>
              <c:spPr>
                <a:noFill/>
                <a:ln w="25400">
                  <a:noFill/>
                </a:ln>
              </c:spPr>
              <c:txPr>
                <a:bodyPr/>
                <a:lstStyle/>
                <a:p>
                  <a:pPr>
                    <a:defRPr sz="1000" b="1" i="0" u="none" strike="noStrike" baseline="0">
                      <a:solidFill>
                        <a:srgbClr val="FF0000"/>
                      </a:solidFill>
                      <a:latin typeface="Calibri"/>
                      <a:ea typeface="Calibri"/>
                      <a:cs typeface="Calibri"/>
                    </a:defRPr>
                  </a:pPr>
                  <a:endParaRPr lang="pl-PL"/>
                </a:p>
              </c:txPr>
              <c:dLblPos val="r"/>
              <c:showLegendKey val="0"/>
              <c:showVal val="1"/>
              <c:showCatName val="0"/>
              <c:showSerName val="0"/>
              <c:showPercent val="0"/>
              <c:showBubbleSize val="0"/>
              <c:extLst>
                <c:ext xmlns:c15="http://schemas.microsoft.com/office/drawing/2012/chart" uri="{CE6537A1-D6FC-4f65-9D91-7224C49458BB}"/>
              </c:extLst>
            </c:dLbl>
            <c:dLbl>
              <c:idx val="5"/>
              <c:layout>
                <c:manualLayout>
                  <c:x val="-2.2222222222222292E-3"/>
                  <c:y val="-4.0593286494925912E-2"/>
                </c:manualLayout>
              </c:layout>
              <c:numFmt formatCode="#,##0.0" sourceLinked="0"/>
              <c:spPr>
                <a:noFill/>
                <a:ln w="25400">
                  <a:noFill/>
                </a:ln>
              </c:spPr>
              <c:txPr>
                <a:bodyPr/>
                <a:lstStyle/>
                <a:p>
                  <a:pPr>
                    <a:defRPr sz="1000" b="1" i="0" u="none" strike="noStrike" baseline="0">
                      <a:solidFill>
                        <a:srgbClr val="FF0000"/>
                      </a:solidFill>
                      <a:latin typeface="Calibri"/>
                      <a:ea typeface="Calibri"/>
                      <a:cs typeface="Calibri"/>
                    </a:defRPr>
                  </a:pPr>
                  <a:endParaRPr lang="pl-PL"/>
                </a:p>
              </c:txPr>
              <c:dLblPos val="r"/>
              <c:showLegendKey val="0"/>
              <c:showVal val="1"/>
              <c:showCatName val="0"/>
              <c:showSerName val="0"/>
              <c:showPercent val="0"/>
              <c:showBubbleSize val="0"/>
              <c:extLst>
                <c:ext xmlns:c15="http://schemas.microsoft.com/office/drawing/2012/chart" uri="{CE6537A1-D6FC-4f65-9D91-7224C49458BB}"/>
              </c:extLst>
            </c:dLbl>
            <c:dLbl>
              <c:idx val="6"/>
              <c:layout>
                <c:manualLayout>
                  <c:x val="-1.3333333333333261E-2"/>
                  <c:y val="-4.0593286494925912E-2"/>
                </c:manualLayout>
              </c:layout>
              <c:numFmt formatCode="#,##0.0" sourceLinked="0"/>
              <c:spPr>
                <a:noFill/>
                <a:ln w="25400">
                  <a:noFill/>
                </a:ln>
              </c:spPr>
              <c:txPr>
                <a:bodyPr/>
                <a:lstStyle/>
                <a:p>
                  <a:pPr>
                    <a:defRPr sz="1000" b="1" i="0" u="none" strike="noStrike" baseline="0">
                      <a:solidFill>
                        <a:srgbClr val="FF0000"/>
                      </a:solidFill>
                      <a:latin typeface="Calibri"/>
                      <a:ea typeface="Calibri"/>
                      <a:cs typeface="Calibri"/>
                    </a:defRPr>
                  </a:pPr>
                  <a:endParaRPr lang="pl-PL"/>
                </a:p>
              </c:txPr>
              <c:dLblPos val="r"/>
              <c:showLegendKey val="0"/>
              <c:showVal val="1"/>
              <c:showCatName val="0"/>
              <c:showSerName val="0"/>
              <c:showPercent val="0"/>
              <c:showBubbleSize val="0"/>
              <c:extLst>
                <c:ext xmlns:c15="http://schemas.microsoft.com/office/drawing/2012/chart" uri="{CE6537A1-D6FC-4f65-9D91-7224C49458BB}"/>
              </c:extLst>
            </c:dLbl>
            <c:dLbl>
              <c:idx val="7"/>
              <c:layout>
                <c:manualLayout>
                  <c:x val="-2.5962006273606043E-2"/>
                  <c:y val="-7.0044916440872143E-2"/>
                </c:manualLayout>
              </c:layout>
              <c:numFmt formatCode="#,##0.0" sourceLinked="0"/>
              <c:spPr>
                <a:noFill/>
                <a:ln w="25400">
                  <a:noFill/>
                </a:ln>
              </c:spPr>
              <c:txPr>
                <a:bodyPr/>
                <a:lstStyle/>
                <a:p>
                  <a:pPr>
                    <a:defRPr sz="1000" b="1" i="0" u="none" strike="noStrike" baseline="0">
                      <a:solidFill>
                        <a:srgbClr val="FF0000"/>
                      </a:solidFill>
                      <a:latin typeface="Calibri"/>
                      <a:ea typeface="Calibri"/>
                      <a:cs typeface="Calibri"/>
                    </a:defRPr>
                  </a:pPr>
                  <a:endParaRPr lang="pl-PL"/>
                </a:p>
              </c:txPr>
              <c:dLblPos val="r"/>
              <c:showLegendKey val="0"/>
              <c:showVal val="1"/>
              <c:showCatName val="0"/>
              <c:showSerName val="0"/>
              <c:showPercent val="0"/>
              <c:showBubbleSize val="0"/>
              <c:extLst>
                <c:ext xmlns:c15="http://schemas.microsoft.com/office/drawing/2012/chart" uri="{CE6537A1-D6FC-4f65-9D91-7224C49458BB}"/>
              </c:extLst>
            </c:dLbl>
            <c:dLbl>
              <c:idx val="8"/>
              <c:layout>
                <c:manualLayout>
                  <c:x val="-3.7588022533768646E-2"/>
                  <c:y val="-6.0807041152188886E-2"/>
                </c:manualLayout>
              </c:layout>
              <c:numFmt formatCode="#,##0.0" sourceLinked="0"/>
              <c:spPr>
                <a:noFill/>
                <a:ln w="25400">
                  <a:noFill/>
                </a:ln>
              </c:spPr>
              <c:txPr>
                <a:bodyPr/>
                <a:lstStyle/>
                <a:p>
                  <a:pPr>
                    <a:defRPr sz="1000" b="1" i="0" u="none" strike="noStrike" baseline="0">
                      <a:solidFill>
                        <a:srgbClr val="FF0000"/>
                      </a:solidFill>
                      <a:latin typeface="Calibri"/>
                      <a:ea typeface="Calibri"/>
                      <a:cs typeface="Calibri"/>
                    </a:defRPr>
                  </a:pPr>
                  <a:endParaRPr lang="pl-PL"/>
                </a:p>
              </c:txPr>
              <c:dLblPos val="r"/>
              <c:showLegendKey val="0"/>
              <c:showVal val="1"/>
              <c:showCatName val="0"/>
              <c:showSerName val="0"/>
              <c:showPercent val="0"/>
              <c:showBubbleSize val="0"/>
              <c:extLst>
                <c:ext xmlns:c15="http://schemas.microsoft.com/office/drawing/2012/chart" uri="{CE6537A1-D6FC-4f65-9D91-7224C49458BB}"/>
              </c:extLst>
            </c:dLbl>
            <c:dLbl>
              <c:idx val="9"/>
              <c:layout>
                <c:manualLayout>
                  <c:x val="-4.2737180718263892E-2"/>
                  <c:y val="-5.7597788729064701E-2"/>
                </c:manualLayout>
              </c:layout>
              <c:numFmt formatCode="#,##0.0" sourceLinked="0"/>
              <c:spPr>
                <a:noFill/>
                <a:ln w="25400">
                  <a:noFill/>
                </a:ln>
              </c:spPr>
              <c:txPr>
                <a:bodyPr/>
                <a:lstStyle/>
                <a:p>
                  <a:pPr>
                    <a:defRPr sz="1000" b="1" i="0" u="none" strike="noStrike" baseline="0">
                      <a:solidFill>
                        <a:srgbClr val="FF0000"/>
                      </a:solidFill>
                      <a:latin typeface="Calibri"/>
                      <a:ea typeface="Calibri"/>
                      <a:cs typeface="Calibri"/>
                    </a:defRPr>
                  </a:pPr>
                  <a:endParaRPr lang="pl-PL"/>
                </a:p>
              </c:txPr>
              <c:dLblPos val="r"/>
              <c:showLegendKey val="0"/>
              <c:showVal val="1"/>
              <c:showCatName val="0"/>
              <c:showSerName val="0"/>
              <c:showPercent val="0"/>
              <c:showBubbleSize val="0"/>
              <c:extLst>
                <c:ext xmlns:c15="http://schemas.microsoft.com/office/drawing/2012/chart" uri="{CE6537A1-D6FC-4f65-9D91-7224C49458BB}"/>
              </c:extLst>
            </c:dLbl>
            <c:dLbl>
              <c:idx val="10"/>
              <c:layout>
                <c:manualLayout>
                  <c:x val="-2.8455284552845541E-2"/>
                  <c:y val="-5.5427251732101834E-2"/>
                </c:manualLayout>
              </c:layout>
              <c:numFmt formatCode="#,##0.0" sourceLinked="0"/>
              <c:spPr>
                <a:noFill/>
                <a:ln w="25400">
                  <a:noFill/>
                </a:ln>
              </c:spPr>
              <c:txPr>
                <a:bodyPr/>
                <a:lstStyle/>
                <a:p>
                  <a:pPr>
                    <a:defRPr sz="1000" b="1" i="0" u="none" strike="noStrike" baseline="0">
                      <a:solidFill>
                        <a:srgbClr val="FF0000"/>
                      </a:solidFill>
                      <a:latin typeface="Calibri"/>
                      <a:ea typeface="Calibri"/>
                      <a:cs typeface="Calibri"/>
                    </a:defRPr>
                  </a:pPr>
                  <a:endParaRPr lang="pl-PL"/>
                </a:p>
              </c:txPr>
              <c:dLblPos val="r"/>
              <c:showLegendKey val="0"/>
              <c:showVal val="1"/>
              <c:showCatName val="0"/>
              <c:showSerName val="0"/>
              <c:showPercent val="0"/>
              <c:showBubbleSize val="0"/>
              <c:extLst>
                <c:ext xmlns:c15="http://schemas.microsoft.com/office/drawing/2012/chart" uri="{CE6537A1-D6FC-4f65-9D91-7224C49458BB}"/>
              </c:extLst>
            </c:dLbl>
            <c:dLbl>
              <c:idx val="11"/>
              <c:layout>
                <c:manualLayout>
                  <c:x val="-3.8036886803291002E-2"/>
                  <c:y val="-4.6949091759569656E-2"/>
                </c:manualLayout>
              </c:layout>
              <c:numFmt formatCode="#,##0.0" sourceLinked="0"/>
              <c:spPr>
                <a:noFill/>
                <a:ln w="25400">
                  <a:noFill/>
                </a:ln>
              </c:spPr>
              <c:txPr>
                <a:bodyPr/>
                <a:lstStyle/>
                <a:p>
                  <a:pPr>
                    <a:defRPr sz="1000" b="1" i="0" u="none" strike="noStrike" baseline="0">
                      <a:solidFill>
                        <a:srgbClr val="FF0000"/>
                      </a:solidFill>
                      <a:latin typeface="Calibri"/>
                      <a:ea typeface="Calibri"/>
                      <a:cs typeface="Calibri"/>
                    </a:defRPr>
                  </a:pPr>
                  <a:endParaRPr lang="pl-PL"/>
                </a:p>
              </c:txPr>
              <c:dLblPos val="r"/>
              <c:showLegendKey val="0"/>
              <c:showVal val="1"/>
              <c:showCatName val="0"/>
              <c:showSerName val="0"/>
              <c:showPercent val="0"/>
              <c:showBubbleSize val="0"/>
              <c:extLst>
                <c:ext xmlns:c15="http://schemas.microsoft.com/office/drawing/2012/chart" uri="{CE6537A1-D6FC-4f65-9D91-7224C49458BB}"/>
              </c:extLst>
            </c:dLbl>
            <c:dLbl>
              <c:idx val="12"/>
              <c:layout>
                <c:manualLayout>
                  <c:x val="-1.3468013468013467E-2"/>
                  <c:y val="4.4854013937912933E-2"/>
                </c:manualLayout>
              </c:layout>
              <c:numFmt formatCode="#,##0.0" sourceLinked="0"/>
              <c:spPr>
                <a:noFill/>
                <a:ln w="25400">
                  <a:noFill/>
                </a:ln>
              </c:spPr>
              <c:txPr>
                <a:bodyPr/>
                <a:lstStyle/>
                <a:p>
                  <a:pPr>
                    <a:defRPr sz="1000" b="1" i="0" u="none" strike="noStrike" baseline="0">
                      <a:solidFill>
                        <a:srgbClr val="FF0000"/>
                      </a:solidFill>
                      <a:latin typeface="Calibri"/>
                      <a:ea typeface="Calibri"/>
                      <a:cs typeface="Calibri"/>
                    </a:defRPr>
                  </a:pPr>
                  <a:endParaRPr lang="pl-PL"/>
                </a:p>
              </c:txPr>
              <c:dLblPos val="r"/>
              <c:showLegendKey val="0"/>
              <c:showVal val="1"/>
              <c:showCatName val="0"/>
              <c:showSerName val="0"/>
              <c:showPercent val="0"/>
              <c:showBubbleSize val="0"/>
              <c:extLst>
                <c:ext xmlns:c15="http://schemas.microsoft.com/office/drawing/2012/chart" uri="{CE6537A1-D6FC-4f65-9D91-7224C49458BB}"/>
              </c:extLst>
            </c:dLbl>
            <c:numFmt formatCode="#,##0.0" sourceLinked="0"/>
            <c:spPr>
              <a:noFill/>
              <a:ln w="25400">
                <a:noFill/>
              </a:ln>
            </c:spPr>
            <c:txPr>
              <a:bodyPr wrap="square" lIns="38100" tIns="19050" rIns="38100" bIns="19050" anchor="ctr">
                <a:spAutoFit/>
              </a:bodyPr>
              <a:lstStyle/>
              <a:p>
                <a:pPr>
                  <a:defRPr sz="1000" b="1" i="0" u="none" strike="noStrike" baseline="0">
                    <a:solidFill>
                      <a:srgbClr val="FF0000"/>
                    </a:solidFill>
                    <a:latin typeface="Calibri"/>
                    <a:ea typeface="Calibri"/>
                    <a:cs typeface="Calibri"/>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Wykresy!$B$1:$N$1</c:f>
              <c:strCache>
                <c:ptCount val="13"/>
                <c:pt idx="0">
                  <c:v>XII
2001</c:v>
                </c:pt>
                <c:pt idx="1">
                  <c:v>XII
2002</c:v>
                </c:pt>
                <c:pt idx="2">
                  <c:v>XII
2003</c:v>
                </c:pt>
                <c:pt idx="3">
                  <c:v>XII
2004</c:v>
                </c:pt>
                <c:pt idx="4">
                  <c:v>XII
2005</c:v>
                </c:pt>
                <c:pt idx="5">
                  <c:v>XII
2006</c:v>
                </c:pt>
                <c:pt idx="6">
                  <c:v>XII
2007</c:v>
                </c:pt>
                <c:pt idx="7">
                  <c:v>XII
2008</c:v>
                </c:pt>
                <c:pt idx="8">
                  <c:v>XII
2009</c:v>
                </c:pt>
                <c:pt idx="9">
                  <c:v>XII
2010</c:v>
                </c:pt>
                <c:pt idx="10">
                  <c:v>XII
2011</c:v>
                </c:pt>
                <c:pt idx="11">
                  <c:v>XII
2012</c:v>
                </c:pt>
                <c:pt idx="12">
                  <c:v>XII
2013</c:v>
                </c:pt>
              </c:strCache>
            </c:strRef>
          </c:cat>
          <c:val>
            <c:numRef>
              <c:f>Wykresy!$B$3:$N$3</c:f>
              <c:numCache>
                <c:formatCode>0.0</c:formatCode>
                <c:ptCount val="13"/>
                <c:pt idx="0">
                  <c:v>22.8</c:v>
                </c:pt>
                <c:pt idx="1">
                  <c:v>23.7</c:v>
                </c:pt>
                <c:pt idx="2">
                  <c:v>23.8</c:v>
                </c:pt>
                <c:pt idx="3">
                  <c:v>22.4</c:v>
                </c:pt>
                <c:pt idx="4">
                  <c:v>20.6</c:v>
                </c:pt>
                <c:pt idx="5">
                  <c:v>16.600000000000001</c:v>
                </c:pt>
                <c:pt idx="6">
                  <c:v>11.4</c:v>
                </c:pt>
                <c:pt idx="7">
                  <c:v>10</c:v>
                </c:pt>
                <c:pt idx="8">
                  <c:v>12.8</c:v>
                </c:pt>
                <c:pt idx="9">
                  <c:v>13.1</c:v>
                </c:pt>
                <c:pt idx="10">
                  <c:v>12.4</c:v>
                </c:pt>
                <c:pt idx="11">
                  <c:v>13.5</c:v>
                </c:pt>
                <c:pt idx="12" formatCode="General">
                  <c:v>13.2</c:v>
                </c:pt>
              </c:numCache>
            </c:numRef>
          </c:val>
          <c:smooth val="0"/>
        </c:ser>
        <c:dLbls>
          <c:showLegendKey val="0"/>
          <c:showVal val="0"/>
          <c:showCatName val="0"/>
          <c:showSerName val="0"/>
          <c:showPercent val="0"/>
          <c:showBubbleSize val="0"/>
        </c:dLbls>
        <c:marker val="1"/>
        <c:smooth val="0"/>
        <c:axId val="93963392"/>
        <c:axId val="93964928"/>
      </c:lineChart>
      <c:catAx>
        <c:axId val="93963392"/>
        <c:scaling>
          <c:orientation val="minMax"/>
        </c:scaling>
        <c:delete val="0"/>
        <c:axPos val="b"/>
        <c:majorGridlines/>
        <c:numFmt formatCode="General" sourceLinked="1"/>
        <c:majorTickMark val="out"/>
        <c:minorTickMark val="none"/>
        <c:tickLblPos val="nextTo"/>
        <c:txPr>
          <a:bodyPr rot="0" vert="horz"/>
          <a:lstStyle/>
          <a:p>
            <a:pPr>
              <a:defRPr sz="1000" b="1" i="0" u="none" strike="noStrike" baseline="0">
                <a:solidFill>
                  <a:srgbClr val="000000"/>
                </a:solidFill>
                <a:latin typeface="Calibri"/>
                <a:ea typeface="Calibri"/>
                <a:cs typeface="Calibri"/>
              </a:defRPr>
            </a:pPr>
            <a:endParaRPr lang="pl-PL"/>
          </a:p>
        </c:txPr>
        <c:crossAx val="93964928"/>
        <c:crosses val="autoZero"/>
        <c:auto val="1"/>
        <c:lblAlgn val="ctr"/>
        <c:lblOffset val="100"/>
        <c:noMultiLvlLbl val="0"/>
      </c:catAx>
      <c:valAx>
        <c:axId val="93964928"/>
        <c:scaling>
          <c:orientation val="minMax"/>
        </c:scaling>
        <c:delete val="0"/>
        <c:axPos val="l"/>
        <c:majorGridlines/>
        <c:title>
          <c:tx>
            <c:rich>
              <a:bodyPr/>
              <a:lstStyle/>
              <a:p>
                <a:pPr>
                  <a:defRPr sz="1000" b="1" i="0" u="none" strike="noStrike" baseline="0">
                    <a:solidFill>
                      <a:srgbClr val="000000"/>
                    </a:solidFill>
                    <a:latin typeface="Calibri"/>
                    <a:ea typeface="Calibri"/>
                    <a:cs typeface="Calibri"/>
                  </a:defRPr>
                </a:pPr>
                <a:r>
                  <a:rPr lang="pl-PL"/>
                  <a:t>Stopa bezrobocia w %</a:t>
                </a:r>
              </a:p>
            </c:rich>
          </c:tx>
          <c:layout>
            <c:manualLayout>
              <c:xMode val="edge"/>
              <c:yMode val="edge"/>
              <c:x val="2.1766395362195885E-2"/>
              <c:y val="0.31048674088152772"/>
            </c:manualLayout>
          </c:layout>
          <c:overlay val="0"/>
          <c:spPr>
            <a:noFill/>
            <a:ln w="25400">
              <a:noFill/>
            </a:ln>
          </c:spPr>
        </c:title>
        <c:numFmt formatCode="0.0" sourceLinked="1"/>
        <c:majorTickMark val="out"/>
        <c:minorTickMark val="none"/>
        <c:tickLblPos val="nextTo"/>
        <c:txPr>
          <a:bodyPr rot="0" vert="horz"/>
          <a:lstStyle/>
          <a:p>
            <a:pPr>
              <a:defRPr sz="1000" b="1" i="0" u="none" strike="noStrike" baseline="0">
                <a:solidFill>
                  <a:srgbClr val="000000"/>
                </a:solidFill>
                <a:latin typeface="Calibri"/>
                <a:ea typeface="Calibri"/>
                <a:cs typeface="Calibri"/>
              </a:defRPr>
            </a:pPr>
            <a:endParaRPr lang="pl-PL"/>
          </a:p>
        </c:txPr>
        <c:crossAx val="93963392"/>
        <c:crosses val="autoZero"/>
        <c:crossBetween val="between"/>
      </c:valAx>
      <c:spPr>
        <a:solidFill>
          <a:srgbClr val="F8FEBE"/>
        </a:solidFill>
      </c:spPr>
    </c:plotArea>
    <c:legend>
      <c:legendPos val="r"/>
      <c:layout>
        <c:manualLayout>
          <c:xMode val="edge"/>
          <c:yMode val="edge"/>
          <c:x val="0.34380162075700138"/>
          <c:y val="2.5062660270914409E-2"/>
          <c:w val="0.31239675848599735"/>
          <c:h val="5.0125320541828812E-2"/>
        </c:manualLayout>
      </c:layout>
      <c:overlay val="0"/>
      <c:txPr>
        <a:bodyPr/>
        <a:lstStyle/>
        <a:p>
          <a:pPr>
            <a:defRPr sz="690" b="1" i="0" u="none" strike="noStrike" baseline="0">
              <a:solidFill>
                <a:srgbClr val="000000"/>
              </a:solidFill>
              <a:latin typeface="Calibri"/>
              <a:ea typeface="Calibri"/>
              <a:cs typeface="Calibri"/>
            </a:defRPr>
          </a:pPr>
          <a:endParaRPr lang="pl-PL"/>
        </a:p>
      </c:txPr>
    </c:legend>
    <c:plotVisOnly val="1"/>
    <c:dispBlanksAs val="gap"/>
    <c:showDLblsOverMax val="0"/>
  </c:chart>
  <c:spPr>
    <a:solidFill>
      <a:srgbClr val="FFFFCC"/>
    </a:solidFill>
    <a:ln w="25400" cap="flat" cmpd="sng" algn="ctr">
      <a:solidFill>
        <a:schemeClr val="dk1"/>
      </a:solidFill>
      <a:prstDash val="solid"/>
    </a:ln>
    <a:effectLst/>
  </c:spPr>
  <c:txPr>
    <a:bodyPr/>
    <a:lstStyle/>
    <a:p>
      <a:pPr>
        <a:defRPr sz="1000" b="0" i="0" u="none" strike="noStrike" baseline="0">
          <a:solidFill>
            <a:srgbClr val="000000"/>
          </a:solidFill>
          <a:latin typeface="Calibri"/>
          <a:ea typeface="Calibri"/>
          <a:cs typeface="Calibri"/>
        </a:defRPr>
      </a:pPr>
      <a:endParaRPr lang="pl-PL"/>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b="1" i="0" u="none" strike="noStrike" baseline="0">
                <a:solidFill>
                  <a:srgbClr val="000000"/>
                </a:solidFill>
                <a:latin typeface="Calibri"/>
                <a:ea typeface="Calibri"/>
                <a:cs typeface="Calibri"/>
              </a:defRPr>
            </a:pPr>
            <a:r>
              <a:rPr lang="pl-PL"/>
              <a:t>Struktura aktywizacji zawodowej bezrobotnych
w województwie dolnośląskim w grudniu 2013 r.</a:t>
            </a:r>
          </a:p>
        </c:rich>
      </c:tx>
      <c:layout>
        <c:manualLayout>
          <c:xMode val="edge"/>
          <c:yMode val="edge"/>
          <c:x val="0.22566803551469941"/>
          <c:y val="1.8203727172625844E-2"/>
        </c:manualLayout>
      </c:layout>
      <c:overlay val="0"/>
      <c:spPr>
        <a:noFill/>
        <a:ln w="25400">
          <a:noFill/>
        </a:ln>
      </c:sp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0.19011405392507755"/>
          <c:y val="0.31908271908272157"/>
          <c:w val="0.64338833232700465"/>
          <c:h val="0.54990990990990996"/>
        </c:manualLayout>
      </c:layout>
      <c:pie3DChart>
        <c:varyColors val="1"/>
        <c:ser>
          <c:idx val="0"/>
          <c:order val="0"/>
          <c:tx>
            <c:strRef>
              <c:f>Subsydiowane!$A$8</c:f>
              <c:strCache>
                <c:ptCount val="1"/>
                <c:pt idx="0">
                  <c:v>Osoby</c:v>
                </c:pt>
              </c:strCache>
            </c:strRef>
          </c:tx>
          <c:dLbls>
            <c:dLbl>
              <c:idx val="0"/>
              <c:layout>
                <c:manualLayout>
                  <c:x val="7.9709318631821735E-2"/>
                  <c:y val="-2.0604020803468168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1"/>
              <c:layout>
                <c:manualLayout>
                  <c:x val="0.17996436809035324"/>
                  <c:y val="2.0631082048405036E-3"/>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2"/>
              <c:layout>
                <c:manualLayout>
                  <c:x val="0.1585998568360783"/>
                  <c:y val="0.16602191310852718"/>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3"/>
              <c:layout>
                <c:manualLayout>
                  <c:x val="0.11661496858347252"/>
                  <c:y val="1.1145633822799176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4"/>
              <c:layout>
                <c:manualLayout>
                  <c:x val="-5.2850711842838252E-2"/>
                  <c:y val="7.2489182095481303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5"/>
              <c:layout>
                <c:manualLayout>
                  <c:x val="-0.14841358466555321"/>
                  <c:y val="0.11429717476961623"/>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6"/>
              <c:delete val="1"/>
              <c:extLst>
                <c:ext xmlns:c15="http://schemas.microsoft.com/office/drawing/2012/chart" uri="{CE6537A1-D6FC-4f65-9D91-7224C49458BB}"/>
              </c:extLst>
            </c:dLbl>
            <c:dLbl>
              <c:idx val="7"/>
              <c:layout>
                <c:manualLayout>
                  <c:x val="-0.20811309949892692"/>
                  <c:y val="2.6262970199978072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8"/>
              <c:layout>
                <c:manualLayout>
                  <c:x val="-0.11944844215047282"/>
                  <c:y val="-1.1689831647033567E-2"/>
                </c:manualLayout>
              </c:layout>
              <c:dLblPos val="bestFit"/>
              <c:showLegendKey val="0"/>
              <c:showVal val="0"/>
              <c:showCatName val="1"/>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pl-PL"/>
              </a:p>
            </c:txPr>
            <c:showLegendKey val="0"/>
            <c:showVal val="0"/>
            <c:showCatName val="1"/>
            <c:showSerName val="0"/>
            <c:showPercent val="1"/>
            <c:showBubbleSize val="0"/>
            <c:showLeaderLines val="1"/>
            <c:extLst>
              <c:ext xmlns:c15="http://schemas.microsoft.com/office/drawing/2012/chart" uri="{CE6537A1-D6FC-4f65-9D91-7224C49458BB}"/>
            </c:extLst>
          </c:dLbls>
          <c:cat>
            <c:strRef>
              <c:f>Subsydiowane!$B$7:$J$7</c:f>
              <c:strCache>
                <c:ptCount val="9"/>
                <c:pt idx="0">
                  <c:v>prace interwencyjne</c:v>
                </c:pt>
                <c:pt idx="1">
                  <c:v>roboty publiczne</c:v>
                </c:pt>
                <c:pt idx="2">
                  <c:v>środki na podjęcie działalności gospodarczej</c:v>
                </c:pt>
                <c:pt idx="3">
                  <c:v>szkolenia</c:v>
                </c:pt>
                <c:pt idx="4">
                  <c:v>staże</c:v>
                </c:pt>
                <c:pt idx="5">
                  <c:v>prace społecznie użyteczne</c:v>
                </c:pt>
                <c:pt idx="6">
                  <c:v>przygotowanie zawodowe dorosłych</c:v>
                </c:pt>
                <c:pt idx="7">
                  <c:v>refundacja kosztów doposażenia stanowiska</c:v>
                </c:pt>
                <c:pt idx="8">
                  <c:v>pozostałe</c:v>
                </c:pt>
              </c:strCache>
            </c:strRef>
          </c:cat>
          <c:val>
            <c:numRef>
              <c:f>Subsydiowane!$B$8:$J$8</c:f>
              <c:numCache>
                <c:formatCode>General</c:formatCode>
                <c:ptCount val="9"/>
                <c:pt idx="0">
                  <c:v>88</c:v>
                </c:pt>
                <c:pt idx="1">
                  <c:v>223</c:v>
                </c:pt>
                <c:pt idx="2">
                  <c:v>522</c:v>
                </c:pt>
                <c:pt idx="3">
                  <c:v>126</c:v>
                </c:pt>
                <c:pt idx="4">
                  <c:v>197</c:v>
                </c:pt>
                <c:pt idx="5">
                  <c:v>93</c:v>
                </c:pt>
                <c:pt idx="6">
                  <c:v>0</c:v>
                </c:pt>
                <c:pt idx="7">
                  <c:v>449</c:v>
                </c:pt>
                <c:pt idx="8">
                  <c:v>22</c:v>
                </c:pt>
              </c:numCache>
            </c:numRef>
          </c:val>
        </c:ser>
        <c:dLbls>
          <c:showLegendKey val="0"/>
          <c:showVal val="0"/>
          <c:showCatName val="1"/>
          <c:showSerName val="0"/>
          <c:showPercent val="1"/>
          <c:showBubbleSize val="0"/>
          <c:showLeaderLines val="1"/>
        </c:dLbls>
      </c:pie3DChart>
      <c:spPr>
        <a:noFill/>
        <a:ln w="25400">
          <a:noFill/>
        </a:ln>
      </c:spPr>
    </c:plotArea>
    <c:plotVisOnly val="1"/>
    <c:dispBlanksAs val="zero"/>
    <c:showDLblsOverMax val="0"/>
  </c:chart>
  <c:spPr>
    <a:solidFill>
      <a:srgbClr val="FFFFCC"/>
    </a:solidFill>
    <a:ln w="25400" cap="flat" cmpd="sng" algn="ctr">
      <a:solidFill>
        <a:schemeClr val="dk1"/>
      </a:solidFill>
      <a:prstDash val="solid"/>
    </a:ln>
    <a:effectLst/>
  </c:spPr>
  <c:txPr>
    <a:bodyPr/>
    <a:lstStyle/>
    <a:p>
      <a:pPr>
        <a:defRPr sz="1000" b="0" i="0" u="none" strike="noStrike" baseline="0">
          <a:solidFill>
            <a:srgbClr val="000000"/>
          </a:solidFill>
          <a:latin typeface="Calibri"/>
          <a:ea typeface="Calibri"/>
          <a:cs typeface="Calibri"/>
        </a:defRPr>
      </a:pPr>
      <a:endParaRPr lang="pl-PL"/>
    </a:p>
  </c:txPr>
  <c:externalData r:id="rId2">
    <c:autoUpdate val="0"/>
  </c:externalData>
  <c:userShapes r:id="rId3"/>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b="1" i="0" u="none" strike="noStrike" baseline="0">
                <a:solidFill>
                  <a:srgbClr val="000000"/>
                </a:solidFill>
                <a:latin typeface="Calibri"/>
                <a:ea typeface="Calibri"/>
                <a:cs typeface="Calibri"/>
              </a:defRPr>
            </a:pPr>
            <a:r>
              <a:rPr lang="pl-PL"/>
              <a:t>Struktura wydatków na aktywizację zawodową bezrobotnych 
w województwie dolnośląskim w okresie styczeń - grudzień 2013 r.</a:t>
            </a:r>
          </a:p>
        </c:rich>
      </c:tx>
      <c:layout>
        <c:manualLayout>
          <c:xMode val="edge"/>
          <c:yMode val="edge"/>
          <c:x val="0.16307025002156419"/>
          <c:y val="3.9312039312039311E-2"/>
        </c:manualLayout>
      </c:layout>
      <c:overlay val="0"/>
      <c:spPr>
        <a:noFill/>
        <a:ln w="25400">
          <a:noFill/>
        </a:ln>
      </c:sp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0.19812847337744754"/>
          <c:y val="0.38787878787879143"/>
          <c:w val="0.64338833232700465"/>
          <c:h val="0.54990990990990996"/>
        </c:manualLayout>
      </c:layout>
      <c:pie3DChart>
        <c:varyColors val="1"/>
        <c:ser>
          <c:idx val="0"/>
          <c:order val="0"/>
          <c:tx>
            <c:v>Wydatki</c:v>
          </c:tx>
          <c:dLbls>
            <c:dLbl>
              <c:idx val="0"/>
              <c:layout>
                <c:manualLayout>
                  <c:x val="0.26783154453111202"/>
                  <c:y val="-6.9019714059084136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1"/>
              <c:layout>
                <c:manualLayout>
                  <c:x val="0.16259674113505765"/>
                  <c:y val="2.9493573745542248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2"/>
              <c:layout>
                <c:manualLayout>
                  <c:x val="0.10956374584632377"/>
                  <c:y val="0.12179612683549741"/>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3"/>
              <c:layout>
                <c:manualLayout>
                  <c:x val="9.4594818840133835E-2"/>
                  <c:y val="-1.3104271057026965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4"/>
              <c:layout>
                <c:manualLayout>
                  <c:x val="-0.12997638206022469"/>
                  <c:y val="1.6967117439558456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5"/>
              <c:layout>
                <c:manualLayout>
                  <c:x val="-0.26105553707195051"/>
                  <c:y val="0.2764036190807844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6"/>
              <c:layout>
                <c:manualLayout>
                  <c:x val="-0.21244102703124629"/>
                  <c:y val="0.12587230036048933"/>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7"/>
              <c:layout>
                <c:manualLayout>
                  <c:x val="-0.18071938190824738"/>
                  <c:y val="-1.5732812268245338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8"/>
              <c:layout>
                <c:manualLayout>
                  <c:x val="3.8210622733191216E-2"/>
                  <c:y val="-8.1510056943127809E-2"/>
                </c:manualLayout>
              </c:layout>
              <c:dLblPos val="bestFit"/>
              <c:showLegendKey val="0"/>
              <c:showVal val="0"/>
              <c:showCatName val="1"/>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pl-PL"/>
              </a:p>
            </c:txPr>
            <c:dLblPos val="bestFit"/>
            <c:showLegendKey val="0"/>
            <c:showVal val="0"/>
            <c:showCatName val="1"/>
            <c:showSerName val="0"/>
            <c:showPercent val="1"/>
            <c:showBubbleSize val="0"/>
            <c:showLeaderLines val="1"/>
            <c:extLst>
              <c:ext xmlns:c15="http://schemas.microsoft.com/office/drawing/2012/chart" uri="{CE6537A1-D6FC-4f65-9D91-7224C49458BB}"/>
            </c:extLst>
          </c:dLbls>
          <c:cat>
            <c:strRef>
              <c:f>Subsydiowane!$B$7:$J$7</c:f>
              <c:strCache>
                <c:ptCount val="9"/>
                <c:pt idx="0">
                  <c:v>prace interwencyjne</c:v>
                </c:pt>
                <c:pt idx="1">
                  <c:v>roboty publiczne</c:v>
                </c:pt>
                <c:pt idx="2">
                  <c:v>środki na podjęcie działalności gospodarczej</c:v>
                </c:pt>
                <c:pt idx="3">
                  <c:v>szkolenia</c:v>
                </c:pt>
                <c:pt idx="4">
                  <c:v>staże</c:v>
                </c:pt>
                <c:pt idx="5">
                  <c:v>prace społecznie użyteczne</c:v>
                </c:pt>
                <c:pt idx="6">
                  <c:v>przygotowanie zawodowe dorosłych</c:v>
                </c:pt>
                <c:pt idx="7">
                  <c:v>refundacja kosztów doposażenia stanowiska</c:v>
                </c:pt>
                <c:pt idx="8">
                  <c:v>pozostałe</c:v>
                </c:pt>
              </c:strCache>
            </c:strRef>
          </c:cat>
          <c:val>
            <c:numRef>
              <c:f>Subsydiowane!$B$11:$J$11</c:f>
              <c:numCache>
                <c:formatCode>0.0%</c:formatCode>
                <c:ptCount val="9"/>
                <c:pt idx="0">
                  <c:v>3.4181227063695058E-2</c:v>
                </c:pt>
                <c:pt idx="1">
                  <c:v>6.1716649549614373E-2</c:v>
                </c:pt>
                <c:pt idx="2">
                  <c:v>0.27931063524978905</c:v>
                </c:pt>
                <c:pt idx="3">
                  <c:v>6.6596235992908953E-2</c:v>
                </c:pt>
                <c:pt idx="4">
                  <c:v>0.3896412124106261</c:v>
                </c:pt>
                <c:pt idx="5">
                  <c:v>1.0023696759970955E-2</c:v>
                </c:pt>
                <c:pt idx="6">
                  <c:v>2.6898030339702621E-3</c:v>
                </c:pt>
                <c:pt idx="7">
                  <c:v>0.12275011611248847</c:v>
                </c:pt>
                <c:pt idx="8">
                  <c:v>3.3090423826936693E-2</c:v>
                </c:pt>
              </c:numCache>
            </c:numRef>
          </c:val>
        </c:ser>
        <c:dLbls>
          <c:showLegendKey val="0"/>
          <c:showVal val="0"/>
          <c:showCatName val="1"/>
          <c:showSerName val="0"/>
          <c:showPercent val="1"/>
          <c:showBubbleSize val="0"/>
          <c:showLeaderLines val="1"/>
        </c:dLbls>
      </c:pie3DChart>
      <c:spPr>
        <a:noFill/>
        <a:ln w="25400">
          <a:noFill/>
        </a:ln>
      </c:spPr>
    </c:plotArea>
    <c:plotVisOnly val="1"/>
    <c:dispBlanksAs val="zero"/>
    <c:showDLblsOverMax val="0"/>
  </c:chart>
  <c:spPr>
    <a:solidFill>
      <a:srgbClr val="FFFFCC"/>
    </a:solidFill>
    <a:ln w="25400" cap="flat" cmpd="sng" algn="ctr">
      <a:solidFill>
        <a:schemeClr val="dk1"/>
      </a:solidFill>
      <a:prstDash val="solid"/>
    </a:ln>
    <a:effectLst/>
  </c:spPr>
  <c:txPr>
    <a:bodyPr/>
    <a:lstStyle/>
    <a:p>
      <a:pPr>
        <a:defRPr sz="1000" b="0" i="0" u="none" strike="noStrike" baseline="0">
          <a:solidFill>
            <a:srgbClr val="000000"/>
          </a:solidFill>
          <a:latin typeface="Calibri"/>
          <a:ea typeface="Calibri"/>
          <a:cs typeface="Calibri"/>
        </a:defRPr>
      </a:pPr>
      <a:endParaRPr lang="pl-PL"/>
    </a:p>
  </c:tx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title>
      <c:tx>
        <c:rich>
          <a:bodyPr/>
          <a:lstStyle/>
          <a:p>
            <a:pPr>
              <a:defRPr sz="1200" b="1" i="0" u="none" strike="noStrike" baseline="0">
                <a:solidFill>
                  <a:srgbClr val="000000"/>
                </a:solidFill>
                <a:latin typeface="Calibri"/>
                <a:ea typeface="Calibri"/>
                <a:cs typeface="Calibri"/>
              </a:defRPr>
            </a:pPr>
            <a:r>
              <a:rPr lang="pl-PL"/>
              <a:t>Liczba bezrobotnych objętych subsydiowanymi programami  rynku pracy w woj.  dolnośląskim  w okresie </a:t>
            </a:r>
          </a:p>
          <a:p>
            <a:pPr>
              <a:defRPr sz="1200" b="1" i="0" u="none" strike="noStrike" baseline="0">
                <a:solidFill>
                  <a:srgbClr val="000000"/>
                </a:solidFill>
                <a:latin typeface="Calibri"/>
                <a:ea typeface="Calibri"/>
                <a:cs typeface="Calibri"/>
              </a:defRPr>
            </a:pPr>
            <a:r>
              <a:rPr lang="pl-PL"/>
              <a:t>grudzień 2012 r. -  grudzień 2013 r.  </a:t>
            </a:r>
          </a:p>
        </c:rich>
      </c:tx>
      <c:overlay val="0"/>
    </c:title>
    <c:autoTitleDeleted val="0"/>
    <c:plotArea>
      <c:layout/>
      <c:lineChart>
        <c:grouping val="standard"/>
        <c:varyColors val="0"/>
        <c:ser>
          <c:idx val="0"/>
          <c:order val="0"/>
          <c:tx>
            <c:strRef>
              <c:f>Subsydiowane!$A$64</c:f>
              <c:strCache>
                <c:ptCount val="1"/>
                <c:pt idx="0">
                  <c:v>Liczba osób</c:v>
                </c:pt>
              </c:strCache>
            </c:strRef>
          </c:tx>
          <c:marker>
            <c:symbol val="diamond"/>
            <c:size val="7"/>
            <c:spPr>
              <a:solidFill>
                <a:schemeClr val="accent5">
                  <a:lumMod val="75000"/>
                </a:schemeClr>
              </a:solidFill>
            </c:spPr>
          </c:marker>
          <c:dLbls>
            <c:spPr>
              <a:noFill/>
              <a:ln>
                <a:noFill/>
              </a:ln>
              <a:effectLst/>
            </c:spPr>
            <c:txPr>
              <a:bodyPr/>
              <a:lstStyle/>
              <a:p>
                <a:pPr>
                  <a:defRPr sz="1000" b="1" i="0" u="none" strike="noStrike" baseline="0">
                    <a:solidFill>
                      <a:srgbClr val="000000"/>
                    </a:solidFill>
                    <a:latin typeface="Calibri"/>
                    <a:ea typeface="Calibri"/>
                    <a:cs typeface="Calibri"/>
                  </a:defRPr>
                </a:pPr>
                <a:endParaRPr lang="pl-PL"/>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Subsydiowane!$C$63:$O$63</c:f>
              <c:strCache>
                <c:ptCount val="13"/>
                <c:pt idx="0">
                  <c:v>XII
2012</c:v>
                </c:pt>
                <c:pt idx="1">
                  <c:v>I
2013</c:v>
                </c:pt>
                <c:pt idx="2">
                  <c:v>II
2013</c:v>
                </c:pt>
                <c:pt idx="3">
                  <c:v>III
2013</c:v>
                </c:pt>
                <c:pt idx="4">
                  <c:v>IV
2013</c:v>
                </c:pt>
                <c:pt idx="5">
                  <c:v>V
2013</c:v>
                </c:pt>
                <c:pt idx="6">
                  <c:v>VI
2013</c:v>
                </c:pt>
                <c:pt idx="7">
                  <c:v>VII
2013</c:v>
                </c:pt>
                <c:pt idx="8">
                  <c:v>VIII
2013</c:v>
                </c:pt>
                <c:pt idx="9">
                  <c:v>IX
2013</c:v>
                </c:pt>
                <c:pt idx="10">
                  <c:v>X
2013</c:v>
                </c:pt>
                <c:pt idx="11">
                  <c:v>XI
2013</c:v>
                </c:pt>
                <c:pt idx="12">
                  <c:v>XII
2013</c:v>
                </c:pt>
              </c:strCache>
            </c:strRef>
          </c:cat>
          <c:val>
            <c:numRef>
              <c:f>Subsydiowane!$C$64:$O$64</c:f>
              <c:numCache>
                <c:formatCode>General</c:formatCode>
                <c:ptCount val="13"/>
                <c:pt idx="0">
                  <c:v>1720</c:v>
                </c:pt>
                <c:pt idx="1">
                  <c:v>849</c:v>
                </c:pt>
                <c:pt idx="2">
                  <c:v>2522</c:v>
                </c:pt>
                <c:pt idx="3">
                  <c:v>4617</c:v>
                </c:pt>
                <c:pt idx="4">
                  <c:v>5028</c:v>
                </c:pt>
                <c:pt idx="5">
                  <c:v>4251</c:v>
                </c:pt>
                <c:pt idx="6">
                  <c:v>3315</c:v>
                </c:pt>
                <c:pt idx="7">
                  <c:v>3051</c:v>
                </c:pt>
                <c:pt idx="8">
                  <c:v>2359</c:v>
                </c:pt>
                <c:pt idx="9">
                  <c:v>2388</c:v>
                </c:pt>
                <c:pt idx="10">
                  <c:v>1885</c:v>
                </c:pt>
                <c:pt idx="11">
                  <c:v>1210</c:v>
                </c:pt>
                <c:pt idx="12">
                  <c:v>1720</c:v>
                </c:pt>
              </c:numCache>
            </c:numRef>
          </c:val>
          <c:smooth val="0"/>
        </c:ser>
        <c:dLbls>
          <c:showLegendKey val="0"/>
          <c:showVal val="0"/>
          <c:showCatName val="0"/>
          <c:showSerName val="0"/>
          <c:showPercent val="0"/>
          <c:showBubbleSize val="0"/>
        </c:dLbls>
        <c:marker val="1"/>
        <c:smooth val="0"/>
        <c:axId val="93499776"/>
        <c:axId val="93501312"/>
      </c:lineChart>
      <c:catAx>
        <c:axId val="93499776"/>
        <c:scaling>
          <c:orientation val="minMax"/>
        </c:scaling>
        <c:delete val="0"/>
        <c:axPos val="b"/>
        <c:majorGridlines/>
        <c:numFmt formatCode="General" sourceLinked="1"/>
        <c:majorTickMark val="out"/>
        <c:minorTickMark val="none"/>
        <c:tickLblPos val="nextTo"/>
        <c:txPr>
          <a:bodyPr rot="0" vert="horz"/>
          <a:lstStyle/>
          <a:p>
            <a:pPr>
              <a:defRPr sz="1000" b="1" i="0" u="none" strike="noStrike" baseline="0">
                <a:solidFill>
                  <a:srgbClr val="000000"/>
                </a:solidFill>
                <a:latin typeface="Calibri"/>
                <a:ea typeface="Calibri"/>
                <a:cs typeface="Calibri"/>
              </a:defRPr>
            </a:pPr>
            <a:endParaRPr lang="pl-PL"/>
          </a:p>
        </c:txPr>
        <c:crossAx val="93501312"/>
        <c:crosses val="autoZero"/>
        <c:auto val="1"/>
        <c:lblAlgn val="ctr"/>
        <c:lblOffset val="100"/>
        <c:noMultiLvlLbl val="0"/>
      </c:catAx>
      <c:valAx>
        <c:axId val="93501312"/>
        <c:scaling>
          <c:orientation val="minMax"/>
        </c:scaling>
        <c:delete val="0"/>
        <c:axPos val="l"/>
        <c:majorGridlines/>
        <c:title>
          <c:tx>
            <c:rich>
              <a:bodyPr/>
              <a:lstStyle/>
              <a:p>
                <a:pPr>
                  <a:defRPr sz="1000" b="1" i="0" u="none" strike="noStrike" baseline="0">
                    <a:solidFill>
                      <a:srgbClr val="000000"/>
                    </a:solidFill>
                    <a:latin typeface="Calibri"/>
                    <a:ea typeface="Calibri"/>
                    <a:cs typeface="Calibri"/>
                  </a:defRPr>
                </a:pPr>
                <a:r>
                  <a:rPr lang="pl-PL"/>
                  <a:t>Liczba bezrobotnych</a:t>
                </a:r>
              </a:p>
            </c:rich>
          </c:tx>
          <c:overlay val="0"/>
        </c:title>
        <c:numFmt formatCode="General" sourceLinked="1"/>
        <c:majorTickMark val="out"/>
        <c:minorTickMark val="none"/>
        <c:tickLblPos val="nextTo"/>
        <c:txPr>
          <a:bodyPr rot="0" vert="horz"/>
          <a:lstStyle/>
          <a:p>
            <a:pPr>
              <a:defRPr sz="1000" b="1" i="0" u="none" strike="noStrike" baseline="0">
                <a:solidFill>
                  <a:srgbClr val="000000"/>
                </a:solidFill>
                <a:latin typeface="Calibri"/>
                <a:ea typeface="Calibri"/>
                <a:cs typeface="Calibri"/>
              </a:defRPr>
            </a:pPr>
            <a:endParaRPr lang="pl-PL"/>
          </a:p>
        </c:txPr>
        <c:crossAx val="93499776"/>
        <c:crosses val="autoZero"/>
        <c:crossBetween val="between"/>
      </c:valAx>
      <c:spPr>
        <a:solidFill>
          <a:srgbClr val="FFFFCC"/>
        </a:solidFill>
      </c:spPr>
    </c:plotArea>
    <c:plotVisOnly val="1"/>
    <c:dispBlanksAs val="gap"/>
    <c:showDLblsOverMax val="0"/>
  </c:chart>
  <c:spPr>
    <a:solidFill>
      <a:srgbClr val="FFFFCC"/>
    </a:solidFill>
    <a:ln w="25400" cap="flat" cmpd="sng" algn="ctr">
      <a:solidFill>
        <a:schemeClr val="dk1"/>
      </a:solidFill>
      <a:prstDash val="solid"/>
    </a:ln>
    <a:effectLst/>
  </c:spPr>
  <c:txPr>
    <a:bodyPr/>
    <a:lstStyle/>
    <a:p>
      <a:pPr>
        <a:defRPr sz="1000" b="0" i="0" u="none" strike="noStrike" baseline="0">
          <a:solidFill>
            <a:srgbClr val="000000"/>
          </a:solidFill>
          <a:latin typeface="Calibri"/>
          <a:ea typeface="Calibri"/>
          <a:cs typeface="Calibri"/>
        </a:defRPr>
      </a:pPr>
      <a:endParaRPr lang="pl-PL"/>
    </a:p>
  </c:txPr>
  <c:externalData r:id="rId2">
    <c:autoUpdate val="0"/>
  </c:externalData>
</c:chartSpace>
</file>

<file path=word/drawings/drawing1.xml><?xml version="1.0" encoding="utf-8"?>
<c:userShapes xmlns:c="http://schemas.openxmlformats.org/drawingml/2006/chart">
  <cdr:relSizeAnchor xmlns:cdr="http://schemas.openxmlformats.org/drawingml/2006/chartDrawing">
    <cdr:from>
      <cdr:x>0.00074</cdr:x>
      <cdr:y>0.32293</cdr:y>
    </cdr:from>
    <cdr:to>
      <cdr:x>0.00106</cdr:x>
      <cdr:y>0.33534</cdr:y>
    </cdr:to>
    <cdr:sp macro="" textlink="">
      <cdr:nvSpPr>
        <cdr:cNvPr id="5" name="Łącznik prosty 4"/>
        <cdr:cNvSpPr/>
      </cdr:nvSpPr>
      <cdr:spPr>
        <a:xfrm xmlns:a="http://schemas.openxmlformats.org/drawingml/2006/main">
          <a:off x="-7315200" y="1285875"/>
          <a:ext cx="914400" cy="914400"/>
        </a:xfrm>
        <a:prstGeom xmlns:a="http://schemas.openxmlformats.org/drawingml/2006/main" prst="line">
          <a:avLst/>
        </a:prstGeom>
        <a:scene3d xmlns:a="http://schemas.openxmlformats.org/drawingml/2006/main">
          <a:camera prst="orthographicFront">
            <a:rot lat="0" lon="5400000" rev="0"/>
          </a:camera>
          <a:lightRig rig="threePt" dir="t"/>
        </a:scene3d>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pl-PL"/>
        </a:p>
      </cdr:txBody>
    </cdr:sp>
  </cdr:relSizeAnchor>
</c:userShape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4.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5.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6.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7.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8.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9.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docProps/app.xml><?xml version="1.0" encoding="utf-8"?>
<Properties xmlns="http://schemas.openxmlformats.org/officeDocument/2006/extended-properties" xmlns:vt="http://schemas.openxmlformats.org/officeDocument/2006/docPropsVTypes">
  <Template>Normal.dotm</Template>
  <TotalTime>43</TotalTime>
  <Pages>34</Pages>
  <Words>7305</Words>
  <Characters>43832</Characters>
  <Application>Microsoft Office Word</Application>
  <DocSecurity>0</DocSecurity>
  <Lines>365</Lines>
  <Paragraphs>102</Paragraphs>
  <ScaleCrop>false</ScaleCrop>
  <HeadingPairs>
    <vt:vector size="2" baseType="variant">
      <vt:variant>
        <vt:lpstr>Tytuł</vt:lpstr>
      </vt:variant>
      <vt:variant>
        <vt:i4>1</vt:i4>
      </vt:variant>
    </vt:vector>
  </HeadingPairs>
  <TitlesOfParts>
    <vt:vector size="1" baseType="lpstr">
      <vt:lpstr/>
    </vt:vector>
  </TitlesOfParts>
  <Company>Microsoft</Company>
  <LinksUpToDate>false</LinksUpToDate>
  <CharactersWithSpaces>51035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zkaliciak</dc:creator>
  <cp:lastModifiedBy>Renata Wojdag</cp:lastModifiedBy>
  <cp:revision>8</cp:revision>
  <cp:lastPrinted>2013-04-12T07:34:00Z</cp:lastPrinted>
  <dcterms:created xsi:type="dcterms:W3CDTF">2014-03-05T13:53:00Z</dcterms:created>
  <dcterms:modified xsi:type="dcterms:W3CDTF">2014-03-24T08:06:00Z</dcterms:modified>
</cp:coreProperties>
</file>