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3D" w:rsidRPr="00AF5D96" w:rsidRDefault="00327ECA" w:rsidP="00BC5F6D">
      <w:pPr>
        <w:pStyle w:val="Bezodstpw"/>
        <w:tabs>
          <w:tab w:val="left" w:pos="7485"/>
        </w:tabs>
        <w:rPr>
          <w:rFonts w:ascii="Tahoma" w:hAnsi="Tahoma" w:cs="Tahoma"/>
        </w:rPr>
      </w:pPr>
      <w:r w:rsidRPr="00AF5D96">
        <w:rPr>
          <w:rFonts w:ascii="Tahoma" w:hAnsi="Tahoma" w:cs="Tahoma"/>
        </w:rPr>
        <w:tab/>
      </w:r>
      <w:permStart w:id="37498162" w:edGrp="everyone"/>
      <w:permEnd w:id="37498162"/>
    </w:p>
    <w:p w:rsidR="00C11384" w:rsidRPr="00AF5D96" w:rsidRDefault="00EF58A2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  <w:r>
        <w:rPr>
          <w:rFonts w:ascii="Tahoma" w:hAnsi="Tahoma" w:cs="Tahoma"/>
          <w:iCs/>
          <w:color w:val="404040"/>
          <w:sz w:val="20"/>
          <w:szCs w:val="20"/>
        </w:rPr>
        <w:t>DOZ/AKM/2540/35</w:t>
      </w:r>
      <w:r w:rsidR="00A50453" w:rsidRPr="00AF5D96">
        <w:rPr>
          <w:rFonts w:ascii="Tahoma" w:hAnsi="Tahoma" w:cs="Tahoma"/>
          <w:iCs/>
          <w:color w:val="404040"/>
          <w:sz w:val="20"/>
          <w:szCs w:val="20"/>
        </w:rPr>
        <w:t xml:space="preserve">/01/2019                                       </w:t>
      </w:r>
      <w:r>
        <w:rPr>
          <w:rFonts w:ascii="Tahoma" w:hAnsi="Tahoma" w:cs="Tahoma"/>
          <w:iCs/>
          <w:color w:val="404040"/>
          <w:sz w:val="20"/>
          <w:szCs w:val="20"/>
        </w:rPr>
        <w:t xml:space="preserve">                   Wałbrzych, 05 listopada</w:t>
      </w:r>
      <w:r w:rsidR="00A50453" w:rsidRPr="00AF5D96">
        <w:rPr>
          <w:rFonts w:ascii="Tahoma" w:hAnsi="Tahoma" w:cs="Tahoma"/>
          <w:iCs/>
          <w:color w:val="404040"/>
          <w:sz w:val="20"/>
          <w:szCs w:val="20"/>
        </w:rPr>
        <w:t xml:space="preserve"> 2019 r.</w:t>
      </w:r>
    </w:p>
    <w:p w:rsidR="00C11384" w:rsidRPr="00AF5D96" w:rsidRDefault="00C11384" w:rsidP="00D366AC">
      <w:pPr>
        <w:keepNext/>
        <w:keepLines/>
        <w:spacing w:line="256" w:lineRule="auto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AF5D96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p w:rsidR="00C11384" w:rsidRPr="006669AB" w:rsidRDefault="00C11384" w:rsidP="00EF58A2">
      <w:pPr>
        <w:jc w:val="center"/>
        <w:rPr>
          <w:rFonts w:ascii="Tahoma" w:hAnsi="Tahoma" w:cs="Tahoma"/>
          <w:b/>
          <w:iCs/>
          <w:color w:val="404040"/>
          <w:sz w:val="20"/>
          <w:szCs w:val="20"/>
        </w:rPr>
      </w:pPr>
      <w:r w:rsidRPr="00AF5D96">
        <w:rPr>
          <w:rFonts w:ascii="Tahoma" w:eastAsia="Times New Roman" w:hAnsi="Tahoma" w:cs="Tahoma"/>
          <w:sz w:val="20"/>
          <w:szCs w:val="20"/>
        </w:rPr>
        <w:t>Dolnośląski Wojewódzki Urząd Pracy w Wałbrzychu: dot. przygotowania projektu graficznego, wykonania i dostawy tekstylnego systemu wystawienniczego</w:t>
      </w:r>
      <w:r w:rsidRPr="00AF5D96">
        <w:rPr>
          <w:rFonts w:ascii="Tahoma" w:eastAsia="Times New Roman" w:hAnsi="Tahoma" w:cs="Tahoma"/>
          <w:sz w:val="20"/>
          <w:szCs w:val="20"/>
        </w:rPr>
        <w:br/>
      </w:r>
    </w:p>
    <w:p w:rsidR="006669AB" w:rsidRPr="006669AB" w:rsidRDefault="006669AB" w:rsidP="006669AB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OGŁOSZENIE O ZAMÓWIENIU - Dostawy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Zamieszczanie ogłoszenia: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Zamieszczanie obowiązkowe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Ogłoszenie dotyczy: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Zamówienia publicznego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Zamówienie dotyczy projektu lub programu współfinansowanego ze środków Unii Europejskiej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Tak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Nazwa projektu lub programu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Przedmiot zamówienia jest realizowany w ramach Projektu „Pomoc techniczna PO WER dla Dolnośląskiego Wojewódzkiego Urzędu Pracy na lata 2019-2020” i jest współfinansowany ze środków Unii Europejskiej w ramach Europejskiego Funduszu Społecznego.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6669AB">
        <w:rPr>
          <w:rFonts w:ascii="Tahoma" w:eastAsia="Times New Roman" w:hAnsi="Tahoma" w:cs="Tahoma"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color w:val="000000"/>
          <w:sz w:val="20"/>
          <w:szCs w:val="20"/>
        </w:rPr>
        <w:t>, nie mniejszy niż 30%, osób zatrudnionych przez zakłady pracy chronionej lub wykonawców albo ich jednostki (w %)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I: ZAMAWIAJĄCY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Postępowanie przeprowadza centralny zamawiający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Postępowanie przeprowadza podmiot, któremu zamawiający powierzył/powierzyli przeprowadzenie postępowania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Informacje na temat podmiotu któremu zamawiający powierzył/powierzyli prowadzenie postępowania: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Postępowanie jest przeprowadzane wspólnie przez zamawiających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Jeżeli tak, należy wymienić zamawiających, którzy wspólnie przeprowadzają postępowanie oraz podać adresy ich siedzib, krajowe numery identyfikacyjne oraz osoby do kontakt</w:t>
      </w:r>
      <w:r>
        <w:rPr>
          <w:rFonts w:ascii="Tahoma" w:eastAsia="Times New Roman" w:hAnsi="Tahoma" w:cs="Tahoma"/>
          <w:color w:val="000000"/>
          <w:sz w:val="20"/>
          <w:szCs w:val="20"/>
        </w:rPr>
        <w:t>ów wraz z danymi do kontaktów: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Postępowanie jest przeprowadzane wspólnie z zamawiającymi z innych państw członkowskich Unii Europejskiej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Informacje dodatkowe: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I. 1) NAZWA I ADRES: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Dolnośląski Wojewódzki Urząd Pracy w Wałbrzychu, krajowy numer identyfika</w:t>
      </w:r>
      <w:r>
        <w:rPr>
          <w:rFonts w:ascii="Tahoma" w:eastAsia="Times New Roman" w:hAnsi="Tahoma" w:cs="Tahoma"/>
          <w:color w:val="000000"/>
          <w:sz w:val="20"/>
          <w:szCs w:val="20"/>
        </w:rPr>
        <w:t>cyjny 89112930100000, ul.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 Ogrodowa  5b , 58-306  Wałbrzych, woj. dolnośląskie, państwo Polska, tel. 74 88-66-500, e-mail ewa.zajdel@dwup.pl, faks 74 88-66-509.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 strony internetowej (URL): www.dwup.pl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 profilu nabywcy: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 strony internetowej pod którym można uzyskać dostęp do narzędzi i urządzeń lub formatów plików, które nie są ogólnie dostępne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I. 2) RODZAJ ZAMAWIAJĄCEGO: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Administracja samorządowa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I.3) WSPÓLNE UDZIELANIE ZAMÓWIENIA </w:t>
      </w:r>
      <w:r w:rsidRPr="006669AB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(jeżeli dotyczy)</w:t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</w:t>
      </w:r>
      <w:r>
        <w:rPr>
          <w:rFonts w:ascii="Tahoma" w:eastAsia="Times New Roman" w:hAnsi="Tahoma" w:cs="Tahoma"/>
          <w:color w:val="000000"/>
          <w:sz w:val="20"/>
          <w:szCs w:val="20"/>
        </w:rPr>
        <w:t>ecz pozostałych zamawiających):</w:t>
      </w:r>
    </w:p>
    <w:p w:rsidR="006669AB" w:rsidRP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I.4) KOMUNIKACJA: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Nieograniczony, pełny i bezpośredni dostęp do dokumentów z postępowania można uzyskać pod adresem (URL)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Tak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www.dwup.pl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Adres strony internetowej, na której zamieszczona będzie specyfikacja istotnych warunków zamówienia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Tak, 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www.dwup.pl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Dostęp do dokumentów z postępowania jest ograniczony - więcej informacji można uzyskać pod adresem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Oferty lub wnioski o dopuszczenie do udziału w postępowaniu należy przesyłać: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Elektronicznie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Nie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adres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Dopuszczone jest przesłanie ofert lub wniosków o dopuszczenie do udziału w postępowaniu w inny sposób: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Nie Inny sposób: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Wymagane jest przesłanie ofert lub wniosków o dopuszczenie do udziału w postępowaniu w inny sposób: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Tak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Inny sposób: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Przesyłanie ofert za pośrednictwem Operatora Pocztowego, Kuriera lud dostarczenie osobiste.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Dolnośląski Wojewódzki Urząd Pracy, ul. Ogrodowa 5b, 58-306 Wałbrzych - Sekretariat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Komunikacja elektroniczna wymaga korzystania z narzędzi i urządzeń lub formatów plików, które nie są ogólnie dostępne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Nieograniczony, pełny, bezpośredni i bezpłatny dostęp do tych narzędzi można uzyskać pod adresem: (URL)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II: PRZEDMIOT ZAMÓWIENIA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II.1) Nazwa nadana zamówieniu przez zamawiającego: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dot. przygotowania projektu graficznego, wykonania i dostawy tekstylnego systemu wystawienniczego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Numer referencyjny: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35/2019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Przed wszczęciem postępowania o udzielenie zamówienia przeprowadzono dialog techniczny</w:t>
      </w:r>
    </w:p>
    <w:p w:rsidR="006669AB" w:rsidRP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II.2) Rodzaj zamówienia: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Dostawy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II.3) Informacja o możliwości składania ofert częściowych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Zamówienie podzielone jest na części: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Oferty lub wnioski o dopuszczenie do udziału w postępowaniu można składać w odniesieniu do: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Zamawiający zastrzega sobie prawo do udzielenia łącznie następujących części lub grup części: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Maksymalna liczba części zamówienia, na które może zostać udzielone zamówienie jednemu wykonawcy: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II.4) Krótki opis przedmiotu zamówienia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(wielkość, zakres, rodzaj i ilość dostaw, usług lub robót budowlanych lub określenie zapotrzebowania i wymagań )</w:t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a w przypadku partnerstwa innowacyjnego - określenie zapotrzebowania na innowacyjny produkt, usługę lub roboty budowlane: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1. Opis przedmiotu zamówienia: 1. Przedmiotem zamówienia jest przygotowanie projektu graficznego, wykonanie i dostawa do Filii DWUP we Wrocławiu tekstylnych systemów wystawienniczych wielokrotnego użytku ( typ I – stojak reklamowy, typ II – ścianka łukowa), na potrzeby działań </w:t>
      </w:r>
      <w:proofErr w:type="spellStart"/>
      <w:r w:rsidRPr="006669AB">
        <w:rPr>
          <w:rFonts w:ascii="Tahoma" w:eastAsia="Times New Roman" w:hAnsi="Tahoma" w:cs="Tahoma"/>
          <w:color w:val="000000"/>
          <w:sz w:val="20"/>
          <w:szCs w:val="20"/>
        </w:rPr>
        <w:t>informacyjno</w:t>
      </w:r>
      <w:proofErr w:type="spellEnd"/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 – promocyjnych, prowadzonych przez DWUP w ramach Programu Operacyjnego Wiedza Edukacja Rozwój, zgodnie ze Szczegółowym Opisem Przedmiotu Zamówienia, stanowiącym załącznik nr 3 do Specyfikacji Istotnych Warunków Zamówienia. 2. Celem usługi jest promocja działań realizowanych w województwie dolnośląskim w ramach Programu Operacyjnego Wiedza Edukacja Rozwój, wdrażanego przez Dolnośląski Wojewódzki Urząd Pracy. 3. Przedmiot zamówienia jest realizowany w ramach Projektu „Pomoc techniczna PO WER dla Dolnośląskiego Wojewódzkiego Urzędu Pracy na lata 2019-2020” i jest współfinansowany ze środków Unii Europejskiej w ramach Europejskiego Funduszu Społecznego. 4. Przedmiot zamówienia obejmuje: a) przygotowanie min. 3 projektów graficznych dla materiału typu I oraz typu II; b) umieszczenie na materiałach nadruku wymaganego przez Zamawiającego; c) dostawę gotowych materiałów do siedziby Zamawiającego. 5. Wymagania stawiane Wykonawcy: a) Wykonawca odpowiedzialny jest za zgodność z warunkami technicznymi i jakościowymi opisanymi dla przedmiotu zamówienia; b) Wykonawca zobowiązuje się do zrealizowania czynności objętych umową zgodnie z najlepszą wiedzą fachową i najwyższą starannością jakiej wymaga usługa tego rodzaju, z uwzględnieniem wymogów artystycznych i technicznych; c) Wykonawca wskaże imiennie osobę/osoby (dane kontaktowe, adres e-mail, telefon) w celu sprawnego i terminowego wykonania przedmiotu zamówienia.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II.5) Główny kod CPV: </w:t>
      </w:r>
      <w:r>
        <w:rPr>
          <w:rFonts w:ascii="Tahoma" w:eastAsia="Times New Roman" w:hAnsi="Tahoma" w:cs="Tahoma"/>
          <w:color w:val="000000"/>
          <w:sz w:val="20"/>
          <w:szCs w:val="20"/>
        </w:rPr>
        <w:t>39133000-3</w:t>
      </w:r>
    </w:p>
    <w:p w:rsidR="006669AB" w:rsidRP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</w:tblGrid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Kod CPV</w:t>
            </w:r>
          </w:p>
        </w:tc>
      </w:tr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79822500-7</w:t>
            </w:r>
          </w:p>
        </w:tc>
      </w:tr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39294199-0</w:t>
            </w:r>
          </w:p>
        </w:tc>
      </w:tr>
    </w:tbl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II.6) Całkowita wartość zamówienia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(jeżeli zamawiający podaje informacje o wartości zamówienia)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Wartość bez VAT: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Waluta: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II.7) Czy przewiduje się udzielenie zamówień, o których mowa w art. 67 ust. 1 pkt 6 i 7 lub w art. 134 ust. 6 pkt 3 ustawy </w:t>
      </w:r>
      <w:proofErr w:type="spellStart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669AB">
        <w:rPr>
          <w:rFonts w:ascii="Tahoma" w:eastAsia="Times New Roman" w:hAnsi="Tahoma" w:cs="Tahoma"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miesiącach:  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lub </w:t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dniach: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14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lub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data rozpoczęcia: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lub </w:t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zakończenia: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II.9) Informacje dodatkowe: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III: INFORMACJE O CHARAKTERZE PRAWNYM, EKONOMICZNYM, FINANSOWYM I TECHNICZNYM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III.1) WARUNKI UDZIAŁU W POSTĘPOWANIU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III.1.1) Kompetencje lub uprawnienia do prowadzenia określonej działalności zawodowej, o ile wynika to z odrębnych przepisów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Określenie warunków: Określenie warunków: 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1 zamówienie dot. wykonania jednego z systemów wystawienniczych wraz z podaniem ich ilości, przedmiotu, dat wykonania i podmiotów, na rzecz których zamówienia zostały wykonane oraz załączeniem dowodów, że zostały wykonane należycie. Zamawiający wymaga od wykonawców wskazania w ofercie lub we wniosku o dopuszczenie do udziału w postępowaniu imion i nazwisk osób wykonujących czynności przy realizacji zamówienia wraz z informacją o kwalifikacjach zawodowych lub doświadczeniu tych osób.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III.1.2) Sytuacja finansowa lub ekonomiczna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Określenie warunków: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III.1.3) Zdolność techniczna lub zawodowa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Określenie warunków: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III.2) PODSTAWY WYKLUCZENIA</w:t>
      </w:r>
    </w:p>
    <w:p w:rsidR="006669AB" w:rsidRPr="006669AB" w:rsidRDefault="006669AB" w:rsidP="006669AB">
      <w:pPr>
        <w:shd w:val="clear" w:color="auto" w:fill="FFFFFF"/>
        <w:spacing w:after="270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III.2.1) Podstawy wykluczenia określone w art. 24 ust. 1 ustawy </w:t>
      </w:r>
      <w:proofErr w:type="spellStart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 Tak Zamawiający przewiduje następujące fakultatywne </w:t>
      </w:r>
      <w:r>
        <w:rPr>
          <w:rFonts w:ascii="Tahoma" w:eastAsia="Times New Roman" w:hAnsi="Tahoma" w:cs="Tahoma"/>
          <w:color w:val="000000"/>
          <w:sz w:val="20"/>
          <w:szCs w:val="20"/>
        </w:rPr>
        <w:t>podstawy wykluczenia: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Tak (podstawa wykluczenia określona w art.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24 ust. 5 pkt 4 ustawy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Pzp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)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Oświadczenie o niepodleganiu wykluczeniu oraz spełnianiu warunków udziału w postępowaniu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Tak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Oświadczenie o spełnianiu kryteriów selekcji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6669AB" w:rsidRP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4.1.Na potrzeby wstępnego potwierdzenia braku podstaw do wykluczenia z postępowania o udzielenie zamówienia, na podstawie art. 24 ust.1 i ust. 5 pkt. 4 )PZP, Wykonawca jest zobowiązany do złożenia aktualnego na dzień składania oferty oświadczenie o niepodleganiu wykluczeniu z postępowania ( wzór oświadczenia stanowi załącznik nr 4 do niniejszej SIWZ) i oświadczenia o spełnieniu warunków udziału w postępowaniu ( wzór oświadczenia stanowi załącznik nr 5 do niniejszej SIWZ). 4.2.W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4.3.W przypadku wspólnego ubiegania się o zamówienie przez Wykonawców: 1) oświadczenie o niepodleganiu wykluczeniu z postępowania, o którym mowa w pkt. 4.1. w formie oryginału składa każdy z Wykonawców wspólnie ubiegających się o zamówienie. Oświadczenie ma potwierdzać brak podstaw wykluczenia w zakresie w którym każdy z Wykonawców wykazuje brak podstaw do wykluczenia. 2) oświadczenie o spełnieniu warunków udziału w postępowaniu, o którym mowa w pkt. 4.1, w formie oryginału składa każdy z nich lub oświadczenie mogą złożyć wspólnie na jednym dokumencie (oświadczenie podpisane przez pełnomocnika lub przez każdego z w/w wykonawców). 3)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4.1. niniejszej SIWZ. 4.4. Zamawiający przed udzieleniem zamówienia nie będzie wzywał wykonawcy, którego oferta została najwyżej oceniona, do składania oświadczeń i dokumentów, zgodnie z art. 26 ust.2 ustawy PZP. 4.5.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p z p. Wraz z złożeniem oświadczenia wykonawca może przedstawić dowody, że powiązania z innym wykonawca nie prowadzą do zakłócenia konkurencji w postępowaniu o udzielenie zamówienia ( wzór oświadczenia stanowi załącznik nr 6 do niniejszej SIWZ). 4.6.Jeśli wykonawca nie złoży oświadczeń, o których mowa w pkt. od 3.1. do 3.5, oświadczenia są niekompletne , zawierają błędy lub budzą wskazane przez zamawiającego wątpliwości, Zamawiający wezwie do ich złożenia, uzupełnienia, poprawienia w terminie przez siebie wskazanym, chyba że pomimo ich złożenia oferta wykonawcy podlegałaby odrzuceniu lub konieczne byłoby unieważnienie postępowania.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III.5.1) W ZAKRESIE SPEŁNIANIA WARUNKÓW UDZIAŁU W POSTĘPOWANIU: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 celu potwierdzenia spełniania przez Wykonawcę warunków udziału w postępowaniu: 1) Wykonawca składa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SIWZ. 2) Dowody od poprzednich Zamawiających potwierdzające, że wskazane w załączniku nr 7 dostawy zostały wykonane należycie. 3)Dowodami o którym mowa w pkt.2) mogą być :a) referencje bądź inne dokumenty wystawione przez podmioty na rzecz których dostawy zostały wykonane.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III.5.2) W ZAKRESIE KRYTERIÓW SELEKCJI: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III.7) INNE DOKUMENTY NIE WYMIENIONE W pkt III.3) - III.6)</w:t>
      </w:r>
    </w:p>
    <w:p w:rsidR="006669AB" w:rsidRPr="006669AB" w:rsidRDefault="006669AB" w:rsidP="006669A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 xml:space="preserve">a) formularz oferty –stanowiący załącznik nr 1 do SIWZ. b) formularz cenowy – załącznik nr 2 do SIWZ. c) oświadczenia i dokumenty wymienione w pkt. 3 SIWZ, a oświadczenie o przynależności lub braku przynależności do tej samej grupy kapitałowej, które jest składane w terminie 3 dni od zamieszczenia na stronie internetowej informacji, o której mowa w art. 86 ust. 5 ustawy PZP tj. informacji z otwarcia ofert, d)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zawarcia umowy. Do oferty składanej przez wykonawców wspólnie ubiegających się o udzielenie zamówienia należy załączyć pełnomocnictwo dla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ustanowionego pełnomocnika, z którego powinien wynikać zakres umocowania. Pełnomocnictwo powinno być dołączone w oryginale lub kopii poświadczonej notarialnie. Niezłożone lub wadliwe pełnomocnictwo podlega uzupełnieniu na warunkach określonych w art. 26 ust. 3 a ustawy p z p. 6) Zamawiający zaleca wykorzystanie formularzy stanowiących integralną część niniejszej SIWZ. Dopuszcza się złożenie w ofercie formularzy opracowanych przez Wykonawcę, pod warunkiem jednak, że ich treść będzie odpowiadać wymaganiom Zamawiającego określonym w SIWZ. 7) Treść złożonej oferty musi odpowiadać treści SIWZ. 8) Oświadczenia, o których mowa w rozporządzeniu Ministra Rozwoju z dnia 27.07.2016r w sprawie rodzaju dokumentów, jakich może żądać Zamawiający od wykonawcy w postępowaniu o udzielenie zamówienia – Dz. U. z 2016r, poz. 1126) dalej zwanym rozporządzeniem, dotyczące Wykonawcy i innych podmiotów, na których zdolnościach lub sytuacji polega wykonawca na zasadach określonych w art. 22 a ustawy PZP oraz dotyczące podwykonawców, składane są w oryginale. 9) Zastrzeżona forma drogi elektronicznej lub faksu nie dotyczy dokumentów, które będą podlegały ewentualnemu uzupełnieniu na podstawie art. 26 ust 3 i 3a ustawy PZP. Dokumenty, do których ewentualnego uzupełnienia będą wzywani Wykonawcy, podlegają złożeniu w formie określonej w § 14 rozporządzenia Ministra Rozwoju Dz. U z 2016 poz.1126 w wyznaczonym terminie. Niezłożenie uzupełnianych dokumentów w wymaganej przepisami powołanego rozporządzenia formie pisemnej w wyznaczonym do tego terminie – skutkować będzie uznaniem przez Zamawiającego, iż nie doszło do ich terminowego złożenia. 10) Inne niż oświadczenia dokumenty, o których mowa w rozporządzeniu, składane są w oryginale lub kopii poświadczonej za zgodność z oryginałem odpowiednio przez Wykonawcę, podmiot na którego zdolnościach lub sytuacji wykonawca polega, podwykonawca, wykonawcy wspólnie ubiegający się o zamówienie w zakresie dokumentów, które każdego z nich dotyczą.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SEKCJA IV: PROCEDURA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IV.1) OPIS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IV.1.1) Tryb udzielenia zamówienia: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Przetarg nieograniczony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IV.1.2) Zamawiający żąda wniesienia wadium: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Nie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Informacja na temat wadium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IV.1.3) Przewiduje się udzielenie zaliczek na poczet wykonania zamówienia: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Należy podać informacj</w:t>
      </w:r>
      <w:r>
        <w:rPr>
          <w:rFonts w:ascii="Tahoma" w:eastAsia="Times New Roman" w:hAnsi="Tahoma" w:cs="Tahoma"/>
          <w:color w:val="000000"/>
          <w:sz w:val="20"/>
          <w:szCs w:val="20"/>
        </w:rPr>
        <w:t>e na temat udzielania zaliczek: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IV.1.4) Wymaga się złożenia ofert w postaci katalogów elektronicznych lub dołączenia do ofert katalogów elektronicznych: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Dopuszcza się złożenie ofert w postaci katalogów elektronicznych lub dołączenia do ofert katalogów elektronicznych: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Informacje </w:t>
      </w:r>
      <w:r>
        <w:rPr>
          <w:rFonts w:ascii="Tahoma" w:eastAsia="Times New Roman" w:hAnsi="Tahoma" w:cs="Tahoma"/>
          <w:color w:val="000000"/>
          <w:sz w:val="20"/>
          <w:szCs w:val="20"/>
        </w:rPr>
        <w:t>dodatkowe: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IV.1.5.) Wymaga się złożenia oferty wariantowej: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Dopuszcza </w:t>
      </w:r>
      <w:r>
        <w:rPr>
          <w:rFonts w:ascii="Tahoma" w:eastAsia="Times New Roman" w:hAnsi="Tahoma" w:cs="Tahoma"/>
          <w:color w:val="000000"/>
          <w:sz w:val="20"/>
          <w:szCs w:val="20"/>
        </w:rPr>
        <w:t>się złożenie oferty wariantowej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Złożenie oferty wariantowej dopuszcza się tylko z jednoczesny</w:t>
      </w:r>
      <w:r>
        <w:rPr>
          <w:rFonts w:ascii="Tahoma" w:eastAsia="Times New Roman" w:hAnsi="Tahoma" w:cs="Tahoma"/>
          <w:color w:val="000000"/>
          <w:sz w:val="20"/>
          <w:szCs w:val="20"/>
        </w:rPr>
        <w:t>m złożeniem oferty zasadniczej: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IV.1.6) Przewidywana liczba wykonawców, którzy zostaną zaproszeni do udziału w postępowaniu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(przetarg ograniczony, negocjacje z ogłoszeniem, dialog konkurencyjny, partnerstwo innowacyjne)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Liczba wykonawców 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Przewidywana minimalna liczba wykonawców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Maksymalna liczba wykonawców 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Kryteria selekcji wykonawców</w:t>
      </w:r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IV.1.7) Informacje na temat umowy ramowej lub dynamicznego systemu zakupów: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Umowa ramowa będzie zawarta: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Czy przewiduje się ograniczenie liczby uczestników umowy ramowej: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Przewidziana maksymalna liczba uczestników umowy ramowej: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Zamówienie obejmuje ustanowienie dynamicznego systemu zakupów: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 strony internetowej, na której będą zamieszczone dodatkowe informacje dotyczące dynamicznego systemu zakupów: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Informacje dodatkowe: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 ramach umowy ramowej/dynamicznego systemu zakupów dopuszcza się złożenie ofert w formie katalogów elektronicznych: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Przewiduje się pobranie ze złożonych katalogów elektronicznych informacji potrzebnych do sporządzenia ofert w ramach umowy ramowej/dynamicznego systemu zakupów: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IV.1.8) Aukcja elektroniczna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Przewidziane jest przeprowadzenie aukcji elektronicznej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(przetarg nieograniczony, przetarg ograniczony, negocjacje z ogłoszeniem)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Należy podać adres strony internetowej, na k</w:t>
      </w:r>
      <w:r>
        <w:rPr>
          <w:rFonts w:ascii="Tahoma" w:eastAsia="Times New Roman" w:hAnsi="Tahoma" w:cs="Tahoma"/>
          <w:color w:val="000000"/>
          <w:sz w:val="20"/>
          <w:szCs w:val="20"/>
        </w:rPr>
        <w:t>tórej aukcja będzie prowadzona: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Należy wskazać elementy, których wartości będą przedmiotem aukcji elektronicznej: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Przewiduje się ograniczenia co do przedstawionych wartości, wynikające z opisu przedmiotu zamówienia: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Należy podać, które informacje zostaną udostępnione wykonawcom w trakcie aukcji elektronicznej oraz jaki będzie termin ich udostępnienia: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dotyczące przebiegu aukcji elektronicznej: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Jaki jest przewidziany sposób postępowania w toku aukcji elektronicznej i jakie będą warunki, na jakich wykonawcy będą mogli licytować (minimalne wysokości postąpień):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dotyczące wykorzystywanego sprzętu elektronicznego, rozwiązań i specyfikacji technicznych w zakresie połączeń: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Wymagania dotyczące rejestracji i identyfikacji wykonawców w aukcji elektronicznej: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o liczbie etapów aukcji elektronicznej i czasie ich trwania: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Czas trwania: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Czy wykonawcy, którzy nie złożyli nowych postąpień, zostaną zakwa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lifikowani do następnego etapu: 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Warunki zamknięcia aukcji elektronicznej: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IV.2) KRYTERIA OCENY OFERT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IV.2.1) Kryteria oceny ofert: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908"/>
      </w:tblGrid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Znaczenie</w:t>
            </w:r>
          </w:p>
        </w:tc>
      </w:tr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60,00</w:t>
            </w:r>
          </w:p>
        </w:tc>
      </w:tr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35,00</w:t>
            </w:r>
          </w:p>
        </w:tc>
      </w:tr>
      <w:tr w:rsidR="006669AB" w:rsidRPr="006669AB" w:rsidTr="006669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zatrudnienie osoby niepełnosprawnej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9AB" w:rsidRPr="006669AB" w:rsidRDefault="006669AB" w:rsidP="006669A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6669AB">
              <w:rPr>
                <w:rFonts w:ascii="Tahoma" w:eastAsia="Times New Roman" w:hAnsi="Tahoma" w:cs="Tahoma"/>
                <w:sz w:val="20"/>
                <w:szCs w:val="20"/>
              </w:rPr>
              <w:t>5,00</w:t>
            </w:r>
          </w:p>
        </w:tc>
      </w:tr>
    </w:tbl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IV.2.3) Zastosowanie procedury, o której mowa w art. 24aa ust. 1 ustawy </w:t>
      </w:r>
      <w:proofErr w:type="spellStart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</w:rPr>
        <w:t>(przetarg nieograniczony)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Tak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IV.3) Negocjacje z ogłoszeniem, dialog konkurencyjny, partnerstwo innowacyjne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IV.3.1) Informacje na temat negocjacji z ogłoszeniem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Minimalne wymagania, które mu</w:t>
      </w:r>
      <w:r>
        <w:rPr>
          <w:rFonts w:ascii="Tahoma" w:eastAsia="Times New Roman" w:hAnsi="Tahoma" w:cs="Tahoma"/>
          <w:color w:val="000000"/>
          <w:sz w:val="20"/>
          <w:szCs w:val="20"/>
        </w:rPr>
        <w:t>szą spełniać wszystkie oferty: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Przewidziane jest zastrzeżenie prawa do udzielenia zamówienia na podstawie ofert wstępnych bez przeprowadzenia negocjacji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Przewidziany jest podział negocjacji na etapy w celu ograniczenia liczby ofert: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Należy podać informacje na temat etapów negocjacji (w tym liczbę </w:t>
      </w:r>
      <w:r>
        <w:rPr>
          <w:rFonts w:ascii="Tahoma" w:eastAsia="Times New Roman" w:hAnsi="Tahoma" w:cs="Tahoma"/>
          <w:color w:val="000000"/>
          <w:sz w:val="20"/>
          <w:szCs w:val="20"/>
        </w:rPr>
        <w:t>etapów):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Informacje dodatkowe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IV.3.2) Informacje na temat dialogu konkurencyjnego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Opis potrzeb i wymagań zamawiającego lub informacja o </w:t>
      </w:r>
      <w:r>
        <w:rPr>
          <w:rFonts w:ascii="Tahoma" w:eastAsia="Times New Roman" w:hAnsi="Tahoma" w:cs="Tahoma"/>
          <w:color w:val="000000"/>
          <w:sz w:val="20"/>
          <w:szCs w:val="20"/>
        </w:rPr>
        <w:t>sposobie uzyskania tego opisu: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Informacja o wysokości nagród dla wykonawców, którzy podczas dialogu konkurencyjnego przedstawili rozwiązania stanowiące podstawę do składania ofert, jeżeli z</w:t>
      </w:r>
      <w:r>
        <w:rPr>
          <w:rFonts w:ascii="Tahoma" w:eastAsia="Times New Roman" w:hAnsi="Tahoma" w:cs="Tahoma"/>
          <w:color w:val="000000"/>
          <w:sz w:val="20"/>
          <w:szCs w:val="20"/>
        </w:rPr>
        <w:t>amawiający przewiduje nagrody: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Wst</w:t>
      </w:r>
      <w:r>
        <w:rPr>
          <w:rFonts w:ascii="Tahoma" w:eastAsia="Times New Roman" w:hAnsi="Tahoma" w:cs="Tahoma"/>
          <w:color w:val="000000"/>
          <w:sz w:val="20"/>
          <w:szCs w:val="20"/>
        </w:rPr>
        <w:t>ępny harmonogram postępowania: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Podział dialogu na etapy w celu ograniczenia liczby rozwiązań: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Należy podać infor</w:t>
      </w:r>
      <w:r>
        <w:rPr>
          <w:rFonts w:ascii="Tahoma" w:eastAsia="Times New Roman" w:hAnsi="Tahoma" w:cs="Tahoma"/>
          <w:color w:val="000000"/>
          <w:sz w:val="20"/>
          <w:szCs w:val="20"/>
        </w:rPr>
        <w:t>macje na temat etapów dialogu: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IV.3.3) Informacje na temat partnerstwa innowacyjnego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Elementy opisu przedmiotu zamówienia definiujące minimalne wymagania, którym muszą odpowiadać </w:t>
      </w:r>
      <w:r>
        <w:rPr>
          <w:rFonts w:ascii="Tahoma" w:eastAsia="Times New Roman" w:hAnsi="Tahoma" w:cs="Tahoma"/>
          <w:color w:val="000000"/>
          <w:sz w:val="20"/>
          <w:szCs w:val="20"/>
        </w:rPr>
        <w:lastRenderedPageBreak/>
        <w:t>wszystkie oferty: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Podział negocjacji na etapy w celu ograniczeniu liczby ofert podlegających negocjacjom poprzez zastosowanie kryteriów oceny ofert wskazanych w specyfikacji istotnych warunków zamó</w:t>
      </w:r>
      <w:r>
        <w:rPr>
          <w:rFonts w:ascii="Tahoma" w:eastAsia="Times New Roman" w:hAnsi="Tahoma" w:cs="Tahoma"/>
          <w:color w:val="000000"/>
          <w:sz w:val="20"/>
          <w:szCs w:val="20"/>
        </w:rPr>
        <w:t>wienia: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Informacje dodatkowe: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IV.4) Licytacja elektroniczna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Adres strony internetowej, na której będzie prowadzona licytacja elektroniczna: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Adres strony internetowej, na której jest dostępny opis przedmiotu zamówienia w licytacji elektronicznej: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Sposób postępowania w toku licytacji elektronicznej, w tym określenie minimalnych wysokości postąpień: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Informacje o liczbie etapów licytacji elektronicznej i czasie ich trwania: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Czas trwania: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Wykonawcy, którzy nie złożyli nowych postąpień, zostaną zakwalifikowani do następnego etapu: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Termin składania wniosków o dopuszczenie do udziału w licytacji elektronicznej: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Data: godzina: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Termin otwarcia licytacji elektronicznej: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Termin i warunki zamknięcia licytacji elektronicznej: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Istotne dla stron postanowienia, które zostaną wprowadzone do treści zawieranej umowy w sprawie zamówienia publicznego, albo ogólne warunki umowy, albo wzór umowy: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Wymagania dotyczące zabezpieczenia należytego wykonania umowy: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Informacje dodatkowe:</w:t>
      </w:r>
    </w:p>
    <w:p w:rsid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IV.5) ZMIANA UMOWY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Przewiduje się istotne zmiany postanowień zawartej umowy w stosunku do treści oferty, na podstawie której dokonano wyboru wykonawcy: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Należy wskazać zakres, charakter zmian or</w:t>
      </w:r>
      <w:r>
        <w:rPr>
          <w:rFonts w:ascii="Tahoma" w:eastAsia="Times New Roman" w:hAnsi="Tahoma" w:cs="Tahoma"/>
          <w:color w:val="000000"/>
          <w:sz w:val="20"/>
          <w:szCs w:val="20"/>
        </w:rPr>
        <w:t>az warunki wprowadzenia zmian: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IV.6) INFORMACJE ADMINISTRACYJNE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IV.6.1) Sposób udostępniania informacji o charakterze poufnym </w:t>
      </w:r>
      <w:r w:rsidRPr="006669AB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(jeżeli dotyczy):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Środki służące ochronie informacji o charakterze poufnym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IV.6.2) Termin składania ofert lub wniosków o dopuszczenie do udziału w postępowaniu: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Data: 2019-11-13, godzina: 10:00,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  <w:t>Skrócenie terminu składania wniosków, ze względu na pilną potrzebę udzielenia zamówienia (przetarg nieograniczony, przetarg ograniczony, negocjacje z ogł</w:t>
      </w:r>
      <w:r>
        <w:rPr>
          <w:rFonts w:ascii="Tahoma" w:eastAsia="Times New Roman" w:hAnsi="Tahoma" w:cs="Tahoma"/>
          <w:color w:val="000000"/>
          <w:sz w:val="20"/>
          <w:szCs w:val="20"/>
        </w:rPr>
        <w:t>oszeniem):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Nie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  <w:t>Wskazać powody:</w:t>
      </w:r>
    </w:p>
    <w:p w:rsidR="006669AB" w:rsidRPr="006669AB" w:rsidRDefault="006669AB" w:rsidP="006669AB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 w:rsidRPr="006669AB">
        <w:rPr>
          <w:rFonts w:ascii="Tahoma" w:eastAsia="Times New Roman" w:hAnsi="Tahoma" w:cs="Tahoma"/>
          <w:color w:val="000000"/>
          <w:sz w:val="20"/>
          <w:szCs w:val="20"/>
        </w:rPr>
        <w:t>Język lub języki, w jakich mogą być sporządzane oferty lub wnioski o dopuszcze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nie do udziału w postępowaniu </w:t>
      </w:r>
      <w:bookmarkStart w:id="0" w:name="_GoBack"/>
      <w:bookmarkEnd w:id="0"/>
      <w:r w:rsidRPr="006669AB">
        <w:rPr>
          <w:rFonts w:ascii="Tahoma" w:eastAsia="Times New Roman" w:hAnsi="Tahoma" w:cs="Tahoma"/>
          <w:color w:val="000000"/>
          <w:sz w:val="20"/>
          <w:szCs w:val="20"/>
        </w:rPr>
        <w:t>Język polski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IV.6.3) Termin związania ofertą: 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do: okres w dniach: 30 (od ostatecznego terminu składania ofert)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Nie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6669A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669AB">
        <w:rPr>
          <w:rFonts w:ascii="Tahoma" w:eastAsia="Times New Roman" w:hAnsi="Tahoma" w:cs="Tahoma"/>
          <w:color w:val="000000"/>
          <w:sz w:val="20"/>
          <w:szCs w:val="20"/>
        </w:rPr>
        <w:t> Nie</w:t>
      </w:r>
    </w:p>
    <w:p w:rsidR="00C11384" w:rsidRPr="006669AB" w:rsidRDefault="00C11384" w:rsidP="00100EF6">
      <w:pPr>
        <w:keepNext/>
        <w:keepLines/>
        <w:spacing w:line="256" w:lineRule="auto"/>
        <w:jc w:val="center"/>
        <w:outlineLvl w:val="6"/>
        <w:rPr>
          <w:rFonts w:ascii="Tahoma" w:hAnsi="Tahoma" w:cs="Tahoma"/>
          <w:b/>
          <w:iCs/>
          <w:color w:val="404040"/>
          <w:sz w:val="20"/>
          <w:szCs w:val="20"/>
        </w:rPr>
      </w:pPr>
    </w:p>
    <w:sectPr w:rsidR="00C11384" w:rsidRPr="006669AB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69AB">
      <w:rPr>
        <w:noProof/>
      </w:rPr>
      <w:t>7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6D07"/>
    <w:rsid w:val="000A7453"/>
    <w:rsid w:val="000C39F6"/>
    <w:rsid w:val="000C55B3"/>
    <w:rsid w:val="000D18FB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669AB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713046"/>
    <w:rsid w:val="0071379E"/>
    <w:rsid w:val="0071512E"/>
    <w:rsid w:val="0072197F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24745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5998"/>
    <w:rsid w:val="00AF5D96"/>
    <w:rsid w:val="00AF7AA7"/>
    <w:rsid w:val="00B01186"/>
    <w:rsid w:val="00B25F3F"/>
    <w:rsid w:val="00B5053D"/>
    <w:rsid w:val="00B67E38"/>
    <w:rsid w:val="00B739A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7103A"/>
    <w:rsid w:val="00E7389F"/>
    <w:rsid w:val="00E73DB2"/>
    <w:rsid w:val="00E81E4E"/>
    <w:rsid w:val="00EA05EB"/>
    <w:rsid w:val="00EB58AD"/>
    <w:rsid w:val="00EC348A"/>
    <w:rsid w:val="00EF58A2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45D0F-42F0-4814-83AA-2F090F76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29</TotalTime>
  <Pages>7</Pages>
  <Words>3562</Words>
  <Characters>21372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Ewa Zajdel</cp:lastModifiedBy>
  <cp:revision>12</cp:revision>
  <cp:lastPrinted>2019-10-10T07:19:00Z</cp:lastPrinted>
  <dcterms:created xsi:type="dcterms:W3CDTF">2019-10-16T10:26:00Z</dcterms:created>
  <dcterms:modified xsi:type="dcterms:W3CDTF">2019-11-05T10:11:00Z</dcterms:modified>
</cp:coreProperties>
</file>