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97098D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20</w:t>
      </w:r>
      <w:r w:rsidR="00EE251C">
        <w:rPr>
          <w:rFonts w:ascii="Tahoma" w:hAnsi="Tahoma" w:cs="Tahoma"/>
          <w:color w:val="000000"/>
        </w:rPr>
        <w:t xml:space="preserve"> kwietnia</w:t>
      </w:r>
      <w:r w:rsidR="00EE251C" w:rsidRPr="007E3BFF">
        <w:rPr>
          <w:rFonts w:ascii="Tahoma" w:hAnsi="Tahoma" w:cs="Tahoma"/>
          <w:color w:val="000000"/>
        </w:rPr>
        <w:t xml:space="preserve"> 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11</w:t>
      </w:r>
      <w:r w:rsidRPr="007E3BFF">
        <w:rPr>
          <w:rFonts w:ascii="Tahoma" w:hAnsi="Tahoma" w:cs="Tahoma"/>
          <w:color w:val="000000"/>
        </w:rPr>
        <w:t>/2015</w:t>
      </w:r>
    </w:p>
    <w:p w:rsidR="00EB655D" w:rsidRPr="00EE251C" w:rsidRDefault="00EE251C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DOZ/EZ/Z.P.11</w:t>
      </w:r>
      <w:r w:rsidRPr="007E3BFF">
        <w:rPr>
          <w:rFonts w:ascii="Tahoma" w:hAnsi="Tahoma" w:cs="Tahoma"/>
        </w:rPr>
        <w:t>/2540/1/2015</w:t>
      </w:r>
    </w:p>
    <w:p w:rsidR="00EB655D" w:rsidRPr="00EE251C" w:rsidRDefault="00EB655D" w:rsidP="00EB655D">
      <w:pPr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</w:rPr>
      </w:pPr>
      <w:r w:rsidRPr="00EB655D">
        <w:rPr>
          <w:rFonts w:ascii="Tahoma" w:eastAsia="Times New Roman" w:hAnsi="Tahoma" w:cs="Tahoma"/>
          <w:color w:val="000000"/>
        </w:rPr>
        <w:t xml:space="preserve">OGŁOSZENIE O ZAMÓWIENIU </w:t>
      </w:r>
      <w:r w:rsidR="00EE251C" w:rsidRPr="00EE251C">
        <w:rPr>
          <w:rFonts w:ascii="Tahoma" w:eastAsia="Times New Roman" w:hAnsi="Tahoma" w:cs="Tahoma"/>
          <w:color w:val="000000"/>
        </w:rPr>
        <w:t>–</w:t>
      </w:r>
      <w:r w:rsidRPr="00EB655D">
        <w:rPr>
          <w:rFonts w:ascii="Tahoma" w:eastAsia="Times New Roman" w:hAnsi="Tahoma" w:cs="Tahoma"/>
          <w:color w:val="000000"/>
        </w:rPr>
        <w:t xml:space="preserve"> usługi</w:t>
      </w:r>
    </w:p>
    <w:p w:rsidR="00EE251C" w:rsidRDefault="00EE251C" w:rsidP="004F244E">
      <w:pPr>
        <w:jc w:val="both"/>
        <w:rPr>
          <w:rFonts w:ascii="Tahoma" w:hAnsi="Tahoma" w:cs="Tahoma"/>
          <w:bCs/>
        </w:rPr>
      </w:pPr>
      <w:r w:rsidRPr="00C9436E">
        <w:rPr>
          <w:rFonts w:ascii="Tahoma" w:hAnsi="Tahoma" w:cs="Tahoma"/>
          <w:bCs/>
          <w:iCs/>
        </w:rPr>
        <w:t xml:space="preserve">przetarg nieograniczony na </w:t>
      </w:r>
      <w:r w:rsidRPr="007B5E3E">
        <w:rPr>
          <w:rFonts w:ascii="Tahoma" w:hAnsi="Tahoma" w:cs="Tahoma"/>
        </w:rPr>
        <w:t xml:space="preserve">kompleksową usługę wydawniczą </w:t>
      </w:r>
      <w:r w:rsidRPr="007B5E3E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</w:p>
    <w:p w:rsidR="00EE251C" w:rsidRPr="00EB655D" w:rsidRDefault="00EE251C" w:rsidP="004F244E">
      <w:pPr>
        <w:jc w:val="both"/>
        <w:rPr>
          <w:rFonts w:ascii="Tahoma" w:hAnsi="Tahoma" w:cs="Tahoma"/>
          <w:b/>
        </w:rPr>
      </w:pPr>
      <w:r w:rsidRPr="007B5E3E">
        <w:rPr>
          <w:rFonts w:ascii="Tahoma" w:hAnsi="Tahoma" w:cs="Tahoma"/>
          <w:bCs/>
        </w:rPr>
        <w:t xml:space="preserve"> i dostawę ulotek promocyjno-informacyjnych w ramach Programu Operacyjnego Wiedza Edukacja Rozwój</w:t>
      </w:r>
      <w:r>
        <w:rPr>
          <w:rFonts w:ascii="Tahoma" w:hAnsi="Tahoma" w:cs="Tahoma"/>
          <w:b/>
          <w:bCs/>
        </w:rPr>
        <w:t>.</w:t>
      </w:r>
    </w:p>
    <w:p w:rsidR="00EE251C" w:rsidRDefault="00EE251C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4F244E">
        <w:rPr>
          <w:rFonts w:ascii="Tahoma" w:eastAsia="Times New Roman" w:hAnsi="Tahoma" w:cs="Tahoma"/>
          <w:color w:val="000000"/>
        </w:rPr>
        <w:t xml:space="preserve"> obowiązkowe.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4F244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publicznego.</w:t>
      </w:r>
    </w:p>
    <w:p w:rsidR="004F244E" w:rsidRPr="004F244E" w:rsidRDefault="004F244E" w:rsidP="004F244E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4F244E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4F244E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4F244E" w:rsidRPr="004F244E" w:rsidRDefault="004F244E" w:rsidP="004F244E">
      <w:pPr>
        <w:numPr>
          <w:ilvl w:val="0"/>
          <w:numId w:val="4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4F244E">
        <w:rPr>
          <w:rFonts w:ascii="Tahoma" w:eastAsia="Times New Roman" w:hAnsi="Tahoma" w:cs="Tahoma"/>
          <w:color w:val="000000"/>
        </w:rPr>
        <w:t xml:space="preserve"> http://www.dwup.pl 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4F244E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4F244E" w:rsidRPr="004F244E" w:rsidRDefault="004F244E" w:rsidP="004F244E">
      <w:pPr>
        <w:spacing w:before="375" w:after="225" w:line="400" w:lineRule="atLeast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4F244E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4F244E" w:rsidRPr="004F244E" w:rsidRDefault="004F244E" w:rsidP="004F244E">
      <w:pPr>
        <w:spacing w:line="400" w:lineRule="atLeast"/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4F244E">
        <w:rPr>
          <w:rFonts w:ascii="Tahoma" w:eastAsia="Times New Roman" w:hAnsi="Tahoma" w:cs="Tahoma"/>
          <w:color w:val="000000"/>
        </w:rPr>
        <w:t xml:space="preserve"> Przetarg nieograniczony na kompleksową usługę wydawniczą obejmującą przygotowanie projektu, opracowanie graficzne, skład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 i łamanie tekstu, korektę językową, przygotowanie wersji elektronicznej, druk i dostawę ulotek promocyjno-informacyjnych w ramach Programu Operacyjnego Wiedza Edukacja Rozwój.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>:</w:t>
      </w:r>
      <w:r w:rsidRPr="004F244E">
        <w:rPr>
          <w:rFonts w:ascii="Tahoma" w:eastAsia="Times New Roman" w:hAnsi="Tahoma" w:cs="Tahoma"/>
          <w:color w:val="000000"/>
        </w:rPr>
        <w:t xml:space="preserve"> usługi.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>:</w:t>
      </w:r>
      <w:r w:rsidRPr="004F244E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jest kompleksowa usługa wydawnicza obejmująca przygotowanie projektu, opracowanie graficzne, skład </w:t>
      </w:r>
      <w:r w:rsidR="00AC10E1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i łamanie tekstu, korektę językową, przygotowanie wersji elektronicznej, druk i dostawę ulotek promocyjno-informacyjnych w ramach Programu Operacyjnego Wiedza Edukacja Rozwój w ilości 4000 sztuk.</w:t>
      </w:r>
      <w:r>
        <w:rPr>
          <w:rFonts w:ascii="Tahoma" w:eastAsia="Times New Roman" w:hAnsi="Tahoma" w:cs="Tahoma"/>
          <w:color w:val="000000"/>
        </w:rPr>
        <w:t xml:space="preserve"> </w:t>
      </w:r>
      <w:r w:rsidRPr="004F244E">
        <w:rPr>
          <w:rFonts w:ascii="Tahoma" w:eastAsia="Times New Roman" w:hAnsi="Tahoma" w:cs="Tahoma"/>
          <w:color w:val="000000"/>
        </w:rPr>
        <w:t xml:space="preserve">Przedmiot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obejmuje: 1)Przygotowanie koncepcji graficznej ulotki promocyjno - informacyjnej (3 propozycje graficzne do wyboru przez Zamawiającego);2)Opracowanie ulotki promocyjno - informacyjnej pod względem graficznym na podstawie dostarczonego przez Zamawiającego materiału tekstowego, zdjęciowego i graficznego, uzupełnionego o dodatkowe elementy graficzne i fotografie dostarczone przez Wykonawcę i zaakceptowane przez Zamawiającego;3)Skład i łamanie tekstu oraz wprowadzenie poprawek, uwag, adnotacji wskazanych przez Zamawiającego w zależności od potrzeb;4)Przeprowadzenie korekty językowej; 5)Przygotowanie ulotki promocyjno - informacyjnej </w:t>
      </w:r>
      <w:r w:rsidR="00AC10E1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w wersji elektronicznej zapisanej na nośniku (płyta CD/DVD - 2 egzemplarze) w formie pliku PDF; 6)Druk ulotki promocyjno - informacyjnej w nakładzie 4000 szt. 7)Dostawę gotowych egzemplarzy ulotki promocyjno - informacyjnej do Filii DWUP we Wrocławiu przy al. Armii Krajowej 54 (Oddział ds. Promocji </w:t>
      </w:r>
      <w:r w:rsidR="00AC10E1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i Informacji, piętro I, pok. 100) i przekazanie jej Zamawiającemu w wersji elektronicznej, zapisanej na nośniku </w:t>
      </w:r>
      <w:r w:rsidR="00AC10E1">
        <w:rPr>
          <w:rFonts w:ascii="Tahoma" w:eastAsia="Times New Roman" w:hAnsi="Tahoma" w:cs="Tahoma"/>
          <w:color w:val="000000"/>
        </w:rPr>
        <w:t>(płyta CD/DVD - 2 egzemplarze).</w:t>
      </w:r>
    </w:p>
    <w:p w:rsidR="004F244E" w:rsidRPr="004F244E" w:rsidRDefault="004F244E" w:rsidP="004F244E">
      <w:pPr>
        <w:spacing w:line="400" w:lineRule="atLeast"/>
        <w:ind w:left="22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II.1.6) Wspólny Słownik Zamówień (CPV):</w:t>
      </w:r>
      <w:r w:rsidRPr="004F244E">
        <w:rPr>
          <w:rFonts w:ascii="Tahoma" w:eastAsia="Times New Roman" w:hAnsi="Tahoma" w:cs="Tahoma"/>
          <w:color w:val="000000"/>
        </w:rPr>
        <w:t xml:space="preserve"> 79.80.00.00-2, 79.82.11.00-6, 79.82.20.00-2, 79.82.25.00-7, 79.82.30.00-9.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lastRenderedPageBreak/>
        <w:t>II.1.7) Czy dopuszcza się złożenie oferty częściowej:</w:t>
      </w:r>
      <w:r w:rsidRPr="004F244E">
        <w:rPr>
          <w:rFonts w:ascii="Tahoma" w:eastAsia="Times New Roman" w:hAnsi="Tahoma" w:cs="Tahoma"/>
          <w:color w:val="000000"/>
        </w:rPr>
        <w:t xml:space="preserve"> nie.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4F244E">
        <w:rPr>
          <w:rFonts w:ascii="Tahoma" w:eastAsia="Times New Roman" w:hAnsi="Tahoma" w:cs="Tahoma"/>
          <w:color w:val="000000"/>
        </w:rPr>
        <w:t xml:space="preserve"> nie.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4F244E">
        <w:rPr>
          <w:rFonts w:ascii="Tahoma" w:eastAsia="Times New Roman" w:hAnsi="Tahoma" w:cs="Tahoma"/>
          <w:color w:val="000000"/>
        </w:rPr>
        <w:t xml:space="preserve"> Okres w dniach: 15.</w:t>
      </w:r>
    </w:p>
    <w:p w:rsidR="004F244E" w:rsidRPr="004F244E" w:rsidRDefault="004F244E" w:rsidP="004F244E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4F244E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III.1) WADIUM</w:t>
      </w:r>
    </w:p>
    <w:p w:rsidR="004F244E" w:rsidRPr="004F244E" w:rsidRDefault="004F244E" w:rsidP="004F244E">
      <w:pPr>
        <w:numPr>
          <w:ilvl w:val="0"/>
          <w:numId w:val="4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4F244E">
        <w:rPr>
          <w:rFonts w:ascii="Tahoma" w:eastAsia="Times New Roman" w:hAnsi="Tahoma" w:cs="Tahoma"/>
          <w:color w:val="000000"/>
        </w:rPr>
        <w:t xml:space="preserve"> nie jest wymagane.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4F244E" w:rsidRPr="004F244E" w:rsidRDefault="004F244E" w:rsidP="004F244E">
      <w:pPr>
        <w:numPr>
          <w:ilvl w:val="0"/>
          <w:numId w:val="4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4F244E" w:rsidRPr="004F244E" w:rsidRDefault="004F244E" w:rsidP="004F244E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4F244E" w:rsidRPr="004F244E" w:rsidRDefault="004F244E" w:rsidP="00187208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Zamawiający uzna warunek za spełniony jeśli wykonawca złoży oświadczenie zgodnie z art.22 ustawy prawo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zamówień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F244E">
        <w:rPr>
          <w:rFonts w:ascii="Tahoma" w:eastAsia="Times New Roman" w:hAnsi="Tahoma" w:cs="Tahoma"/>
          <w:color w:val="000000"/>
        </w:rPr>
        <w:t>publicznych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</w:p>
    <w:p w:rsidR="004F244E" w:rsidRPr="004F244E" w:rsidRDefault="004F244E" w:rsidP="004F244E">
      <w:pPr>
        <w:numPr>
          <w:ilvl w:val="0"/>
          <w:numId w:val="4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4F244E" w:rsidRPr="004F244E" w:rsidRDefault="004F244E" w:rsidP="004F244E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4F244E" w:rsidRPr="004F244E" w:rsidRDefault="004F244E" w:rsidP="00187208">
      <w:p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Wykonawca ubiegający się o zamówienie powinien wykazać, że w okresie ostatnich trzech lat przed upływem terminu składania ofert, a jeżeli okres prowadzenia działalności jest krótszy - </w:t>
      </w:r>
      <w:r w:rsidR="00187208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w tym okresie, wykonał min. 3 zadania, tj. usługi polegające na przygotowaniu projektu, opracowaniu graficznym, składzie i łamaniu tekstu, druku i dostawie ulotek promocyjno-informacyjnych w ilości co najmniej 1000sztuk każde zadanie wraz z podaniem przedmiotu, dat wykonania, wartości i podmiotów, na rzecz których usługi zostały wykonane oraz załączeniem dowodów, że zadania zostały wykonane należycie </w:t>
      </w:r>
    </w:p>
    <w:p w:rsidR="004F244E" w:rsidRPr="004F244E" w:rsidRDefault="004F244E" w:rsidP="004F244E">
      <w:pPr>
        <w:numPr>
          <w:ilvl w:val="0"/>
          <w:numId w:val="44"/>
        </w:numPr>
        <w:spacing w:line="400" w:lineRule="atLeast"/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4F244E" w:rsidRPr="004F244E" w:rsidRDefault="004F244E" w:rsidP="004F244E">
      <w:pPr>
        <w:spacing w:line="400" w:lineRule="atLeast"/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4F244E" w:rsidRPr="004F244E" w:rsidRDefault="004F244E" w:rsidP="00187208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>Zamawiający uzna warunek za spełniony</w:t>
      </w:r>
      <w:r w:rsidR="0060073B">
        <w:rPr>
          <w:rFonts w:ascii="Tahoma" w:eastAsia="Times New Roman" w:hAnsi="Tahoma" w:cs="Tahoma"/>
          <w:color w:val="000000"/>
        </w:rPr>
        <w:t>,</w:t>
      </w:r>
      <w:r w:rsidR="004971C4">
        <w:rPr>
          <w:rFonts w:ascii="Tahoma" w:eastAsia="Times New Roman" w:hAnsi="Tahoma" w:cs="Tahoma"/>
          <w:color w:val="000000"/>
        </w:rPr>
        <w:t xml:space="preserve"> jeśli</w:t>
      </w:r>
      <w:r w:rsidRPr="004F244E">
        <w:rPr>
          <w:rFonts w:ascii="Tahoma" w:eastAsia="Times New Roman" w:hAnsi="Tahoma" w:cs="Tahoma"/>
          <w:color w:val="000000"/>
        </w:rPr>
        <w:t xml:space="preserve"> wykonawca złoży oświadczenie zgodnie z art.22 ustawy prawo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zamówień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F244E">
        <w:rPr>
          <w:rFonts w:ascii="Tahoma" w:eastAsia="Times New Roman" w:hAnsi="Tahoma" w:cs="Tahoma"/>
          <w:color w:val="000000"/>
        </w:rPr>
        <w:t>publicznych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</w:p>
    <w:p w:rsidR="004F244E" w:rsidRPr="004F244E" w:rsidRDefault="004F244E" w:rsidP="004F244E">
      <w:pPr>
        <w:numPr>
          <w:ilvl w:val="0"/>
          <w:numId w:val="44"/>
        </w:numPr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4F244E" w:rsidRPr="004F244E" w:rsidRDefault="004F244E" w:rsidP="004F244E">
      <w:pPr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4F244E" w:rsidRPr="004F244E" w:rsidRDefault="004F244E" w:rsidP="00187208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>Zamawiający uzna warunek za spełniony</w:t>
      </w:r>
      <w:r w:rsidR="0060073B">
        <w:rPr>
          <w:rFonts w:ascii="Tahoma" w:eastAsia="Times New Roman" w:hAnsi="Tahoma" w:cs="Tahoma"/>
          <w:color w:val="000000"/>
        </w:rPr>
        <w:t>,</w:t>
      </w:r>
      <w:r w:rsidRPr="004F244E">
        <w:rPr>
          <w:rFonts w:ascii="Tahoma" w:eastAsia="Times New Roman" w:hAnsi="Tahoma" w:cs="Tahoma"/>
          <w:color w:val="000000"/>
        </w:rPr>
        <w:t xml:space="preserve"> jeśli wykonawca złoży oświadczenie zgodnie z art.22 ustawy prawo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zamówień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F244E">
        <w:rPr>
          <w:rFonts w:ascii="Tahoma" w:eastAsia="Times New Roman" w:hAnsi="Tahoma" w:cs="Tahoma"/>
          <w:color w:val="000000"/>
        </w:rPr>
        <w:t>publicznych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</w:p>
    <w:p w:rsidR="004F244E" w:rsidRPr="004F244E" w:rsidRDefault="004F244E" w:rsidP="004F244E">
      <w:pPr>
        <w:numPr>
          <w:ilvl w:val="0"/>
          <w:numId w:val="44"/>
        </w:numPr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4F244E" w:rsidRPr="004F244E" w:rsidRDefault="004F244E" w:rsidP="004F244E">
      <w:pPr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4F244E" w:rsidRPr="004F244E" w:rsidRDefault="004F244E" w:rsidP="00187208">
      <w:pPr>
        <w:spacing w:before="100" w:beforeAutospacing="1" w:after="100" w:afterAutospacing="1"/>
        <w:ind w:left="900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>Zamawiający uzna warunek za spełniony</w:t>
      </w:r>
      <w:r w:rsidR="0060073B">
        <w:rPr>
          <w:rFonts w:ascii="Tahoma" w:eastAsia="Times New Roman" w:hAnsi="Tahoma" w:cs="Tahoma"/>
          <w:color w:val="000000"/>
        </w:rPr>
        <w:t>,</w:t>
      </w:r>
      <w:r w:rsidRPr="004F244E">
        <w:rPr>
          <w:rFonts w:ascii="Tahoma" w:eastAsia="Times New Roman" w:hAnsi="Tahoma" w:cs="Tahoma"/>
          <w:color w:val="000000"/>
        </w:rPr>
        <w:t xml:space="preserve"> jeśli wykonawca złoży oświadczenie zgodnie z art.22 ustawy prawo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zamówień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F244E">
        <w:rPr>
          <w:rFonts w:ascii="Tahoma" w:eastAsia="Times New Roman" w:hAnsi="Tahoma" w:cs="Tahoma"/>
          <w:color w:val="000000"/>
        </w:rPr>
        <w:t>publicznych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</w:t>
      </w: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F244E" w:rsidRPr="004F244E" w:rsidRDefault="004F244E" w:rsidP="004F244E">
      <w:pPr>
        <w:numPr>
          <w:ilvl w:val="0"/>
          <w:numId w:val="45"/>
        </w:numPr>
        <w:spacing w:line="400" w:lineRule="atLeast"/>
        <w:ind w:left="675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4F244E" w:rsidRPr="004F244E" w:rsidRDefault="004F244E" w:rsidP="004F244E">
      <w:pPr>
        <w:numPr>
          <w:ilvl w:val="0"/>
          <w:numId w:val="45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oświadczenie o braku podstaw do wykluczenia; 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F244E">
        <w:rPr>
          <w:rFonts w:ascii="Tahoma" w:eastAsia="Times New Roman" w:hAnsi="Tahoma" w:cs="Tahoma"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4F244E" w:rsidRPr="004F244E" w:rsidRDefault="004F244E" w:rsidP="004F244E">
      <w:pPr>
        <w:numPr>
          <w:ilvl w:val="0"/>
          <w:numId w:val="45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</w:p>
    <w:p w:rsidR="004F244E" w:rsidRPr="004F244E" w:rsidRDefault="004F244E" w:rsidP="004F244E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4F244E" w:rsidRPr="004F244E" w:rsidRDefault="004F244E" w:rsidP="004F244E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</w:t>
      </w:r>
      <w:r w:rsidR="00950182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w postępowaniu o udzielenie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</w:t>
      </w:r>
      <w:r w:rsidR="00950182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w postępowaniu o udzielenie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4F244E" w:rsidRPr="004F244E" w:rsidRDefault="004F244E" w:rsidP="004F244E">
      <w:pPr>
        <w:numPr>
          <w:ilvl w:val="0"/>
          <w:numId w:val="45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</w:p>
    <w:p w:rsidR="004F244E" w:rsidRPr="004F244E" w:rsidRDefault="004F244E" w:rsidP="004F244E">
      <w:pPr>
        <w:numPr>
          <w:ilvl w:val="1"/>
          <w:numId w:val="4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1)Dokumenty zgodne z art. 26 ust. 2 PZP i wyszczególnione w § </w:t>
      </w:r>
      <w:r w:rsidR="00950182">
        <w:rPr>
          <w:rFonts w:ascii="Tahoma" w:eastAsia="Times New Roman" w:hAnsi="Tahoma" w:cs="Tahoma"/>
          <w:color w:val="000000"/>
        </w:rPr>
        <w:t>1 ust..1 pkt.3 i 3 ust.1 pkt.1,</w:t>
      </w:r>
      <w:r w:rsidRPr="004F244E">
        <w:rPr>
          <w:rFonts w:ascii="Tahoma" w:eastAsia="Times New Roman" w:hAnsi="Tahoma" w:cs="Tahoma"/>
          <w:color w:val="000000"/>
        </w:rPr>
        <w:t xml:space="preserve">2 rozporządzenia Prezesa Rady Ministrów z dnia 19.02.2013 r. w sprawie rodzajów dokumentów, jakich może żądać Zamawiający od Wykonawcy, oraz form w jakich te dokumenty mogą być składane. a) oświadczenie o braku podstaw do wykluczenia - załącznik nr 2 do SIWZ - II b) aktualny odpis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z właściwego rejestru lub centralnej ewidencji i informacji o działalności gospodarczej, jeżeli odrębne przepisy wymagają wpisu do rejestru lub ewidencji, w celu wykazania braku podstaw do wykluczenia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w oparciu o art. 24 ust. 1 pkt. 2 Ustawy, wystawiony nie wcześniej niż 6 miesięcy przed upływem terminu składania ofert. 2)</w:t>
      </w:r>
      <w:r w:rsidR="004154E9">
        <w:rPr>
          <w:rFonts w:ascii="Tahoma" w:eastAsia="Times New Roman" w:hAnsi="Tahoma" w:cs="Tahoma"/>
          <w:color w:val="000000"/>
        </w:rPr>
        <w:t xml:space="preserve"> </w:t>
      </w:r>
      <w:r w:rsidRPr="004F244E">
        <w:rPr>
          <w:rFonts w:ascii="Tahoma" w:eastAsia="Times New Roman" w:hAnsi="Tahoma" w:cs="Tahoma"/>
          <w:color w:val="000000"/>
        </w:rPr>
        <w:t xml:space="preserve">W przypadku podmiotów występujących wspólnie o udzielenie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być złożone w oryginale lub kopii uwierzytelnionej przez notariusza.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W przypadku Wykonawców ubiegających się wspólnie o udzielenie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, dokumenty wymienione pkt.3.1.1 SIWZ winien dołączyć każdy podmiot występujący wspólnie w oryginale, a dokumenty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 xml:space="preserve">z pkt.3.1.1 lit b) SIWZ winny być potwierdzone za zgodność z oryginałem przez Wykonawcę lub Wykonawcę którego dokumenty dotyczą zgodnie z § 7 ust. 2 Rozporządzenia Prezesa Rady Ministrów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z dnia 19.02.2013 r. w sprawie rodzajów dokumentów, jakich może żądać Zamawiający od Wykonawcy, oraz form w jakich te</w:t>
      </w:r>
      <w:r w:rsidR="004154E9">
        <w:rPr>
          <w:rFonts w:ascii="Tahoma" w:eastAsia="Times New Roman" w:hAnsi="Tahoma" w:cs="Tahoma"/>
          <w:color w:val="000000"/>
        </w:rPr>
        <w:t xml:space="preserve"> dokumenty mogą być składane. 3</w:t>
      </w:r>
      <w:r w:rsidRPr="004F244E">
        <w:rPr>
          <w:rFonts w:ascii="Tahoma" w:eastAsia="Times New Roman" w:hAnsi="Tahoma" w:cs="Tahoma"/>
          <w:color w:val="000000"/>
        </w:rPr>
        <w:t>)</w:t>
      </w:r>
      <w:r w:rsidR="004154E9">
        <w:rPr>
          <w:rFonts w:ascii="Tahoma" w:eastAsia="Times New Roman" w:hAnsi="Tahoma" w:cs="Tahoma"/>
          <w:color w:val="000000"/>
        </w:rPr>
        <w:t xml:space="preserve"> </w:t>
      </w:r>
      <w:r w:rsidRPr="004F244E">
        <w:rPr>
          <w:rFonts w:ascii="Tahoma" w:eastAsia="Times New Roman" w:hAnsi="Tahoma" w:cs="Tahoma"/>
          <w:color w:val="000000"/>
        </w:rPr>
        <w:t xml:space="preserve">Jeżeli Wykonawca ma siedzibę lub miejsce </w:t>
      </w:r>
      <w:r w:rsidRPr="004F244E">
        <w:rPr>
          <w:rFonts w:ascii="Tahoma" w:eastAsia="Times New Roman" w:hAnsi="Tahoma" w:cs="Tahoma"/>
          <w:color w:val="000000"/>
        </w:rPr>
        <w:lastRenderedPageBreak/>
        <w:t xml:space="preserve">zamieszkania poza terytorium Rzeczpospolitej Polskiej, zamiast dokumentów, o których mowa w </w:t>
      </w:r>
      <w:proofErr w:type="spellStart"/>
      <w:r w:rsidRPr="004F244E">
        <w:rPr>
          <w:rFonts w:ascii="Tahoma" w:eastAsia="Times New Roman" w:hAnsi="Tahoma" w:cs="Tahoma"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3.1.1, lit b) SIWZ składa dokument lub dokumenty wystawione w kraju, w którym ma siedzibę lub miejsce zamieszkania, potwierdzające odpowiednio, że: a) nie otwarto jego likwidacji ani nie ogłoszono upadłości, b) nie orzeczono wobec niego zakazu ubiegania się o</w:t>
      </w:r>
      <w:r w:rsidR="004154E9">
        <w:rPr>
          <w:rFonts w:ascii="Tahoma" w:eastAsia="Times New Roman" w:hAnsi="Tahoma" w:cs="Tahoma"/>
          <w:color w:val="000000"/>
        </w:rPr>
        <w:t xml:space="preserve"> zamówienie. 4</w:t>
      </w:r>
      <w:r w:rsidRPr="004F244E">
        <w:rPr>
          <w:rFonts w:ascii="Tahoma" w:eastAsia="Times New Roman" w:hAnsi="Tahoma" w:cs="Tahoma"/>
          <w:color w:val="000000"/>
        </w:rPr>
        <w:t>)</w:t>
      </w:r>
      <w:r w:rsidR="004154E9">
        <w:rPr>
          <w:rFonts w:ascii="Tahoma" w:eastAsia="Times New Roman" w:hAnsi="Tahoma" w:cs="Tahoma"/>
          <w:color w:val="000000"/>
        </w:rPr>
        <w:t xml:space="preserve"> </w:t>
      </w:r>
      <w:r w:rsidRPr="004F244E">
        <w:rPr>
          <w:rFonts w:ascii="Tahoma" w:eastAsia="Times New Roman" w:hAnsi="Tahoma" w:cs="Tahoma"/>
          <w:color w:val="000000"/>
        </w:rPr>
        <w:t xml:space="preserve">Dokumenty o których mowa w pkt. 3.1.3 lit. a i b SIWZ-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4F244E">
        <w:rPr>
          <w:rFonts w:ascii="Tahoma" w:eastAsia="Times New Roman" w:hAnsi="Tahoma" w:cs="Tahoma"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3.1.1 lit b) są składane wraz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z</w:t>
      </w:r>
      <w:r w:rsidR="004154E9">
        <w:rPr>
          <w:rFonts w:ascii="Tahoma" w:eastAsia="Times New Roman" w:hAnsi="Tahoma" w:cs="Tahoma"/>
          <w:color w:val="000000"/>
        </w:rPr>
        <w:t xml:space="preserve"> tłumaczeniem na język polski. 5</w:t>
      </w:r>
      <w:r w:rsidRPr="004F244E">
        <w:rPr>
          <w:rFonts w:ascii="Tahoma" w:eastAsia="Times New Roman" w:hAnsi="Tahoma" w:cs="Tahoma"/>
          <w:color w:val="000000"/>
        </w:rPr>
        <w:t>) 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</w:t>
      </w:r>
      <w:r w:rsidR="004154E9">
        <w:rPr>
          <w:rFonts w:ascii="Tahoma" w:eastAsia="Times New Roman" w:hAnsi="Tahoma" w:cs="Tahoma"/>
          <w:color w:val="000000"/>
        </w:rPr>
        <w:t>szkania lub przed notariuszem. 6</w:t>
      </w:r>
      <w:r w:rsidRPr="004F244E">
        <w:rPr>
          <w:rFonts w:ascii="Tahoma" w:eastAsia="Times New Roman" w:hAnsi="Tahoma" w:cs="Tahoma"/>
          <w:color w:val="000000"/>
        </w:rPr>
        <w:t xml:space="preserve">) W celu wykazania spełniania przez Wykonawcę warunków, o których mowa w art. 22 ust. 1 ustawy do oferty należy dołączyć: a)Oświadczenie o spełnieniu warunków określonych w art. 22 ust. 1 PZP - zgodnie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z formularzem stanowiącym</w:t>
      </w:r>
      <w:r w:rsidR="004154E9">
        <w:rPr>
          <w:rFonts w:ascii="Tahoma" w:eastAsia="Times New Roman" w:hAnsi="Tahoma" w:cs="Tahoma"/>
          <w:color w:val="000000"/>
        </w:rPr>
        <w:t xml:space="preserve"> załącznik nr 2 - I do SIWZ b) </w:t>
      </w:r>
      <w:r w:rsidRPr="004F244E">
        <w:rPr>
          <w:rFonts w:ascii="Tahoma" w:eastAsia="Times New Roman" w:hAnsi="Tahoma" w:cs="Tahoma"/>
          <w:color w:val="000000"/>
        </w:rPr>
        <w:t xml:space="preserve"> Wykaz wykonanych usług w okresie ostatnich trzech lat przed upływem terminu składania ofert, a jeżeli okres prowadzenia działalności jest krótszy -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w tym okresie, głównych usług wraz z podaniem ilości, przedmiotu, dat wykonania i podmiotów, na rzecz których usługi zostały wyko</w:t>
      </w:r>
      <w:r w:rsidR="004154E9">
        <w:rPr>
          <w:rFonts w:ascii="Tahoma" w:eastAsia="Times New Roman" w:hAnsi="Tahoma" w:cs="Tahoma"/>
          <w:color w:val="000000"/>
        </w:rPr>
        <w:t>nane - załącznik nr 5 do SIWZ. 7</w:t>
      </w:r>
      <w:r w:rsidRPr="004F244E">
        <w:rPr>
          <w:rFonts w:ascii="Tahoma" w:eastAsia="Times New Roman" w:hAnsi="Tahoma" w:cs="Tahoma"/>
          <w:color w:val="000000"/>
        </w:rPr>
        <w:t>) Dowody od poprzednich Zamawiających potwierdzające, że wskazane w załączniku nr 5 usłu</w:t>
      </w:r>
      <w:r w:rsidR="004154E9">
        <w:rPr>
          <w:rFonts w:ascii="Tahoma" w:eastAsia="Times New Roman" w:hAnsi="Tahoma" w:cs="Tahoma"/>
          <w:color w:val="000000"/>
        </w:rPr>
        <w:t>gi zostały wykonane należycie. 8</w:t>
      </w:r>
      <w:r w:rsidRPr="004F244E">
        <w:rPr>
          <w:rFonts w:ascii="Tahoma" w:eastAsia="Times New Roman" w:hAnsi="Tahoma" w:cs="Tahoma"/>
          <w:color w:val="000000"/>
        </w:rPr>
        <w:t xml:space="preserve">) Dowodami o którym mowa w </w:t>
      </w:r>
      <w:proofErr w:type="spellStart"/>
      <w:r w:rsidRPr="004F244E">
        <w:rPr>
          <w:rFonts w:ascii="Tahoma" w:eastAsia="Times New Roman" w:hAnsi="Tahoma" w:cs="Tahoma"/>
          <w:color w:val="000000"/>
        </w:rPr>
        <w:t>pkt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3.2.3 SIWZ może być : a) poświadczenie, b) oświadczenie wykonawcy - jeżeli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z uzasadnionych przyczyn o obiektywnym charakterze wykonawca nie jest w stanie uzyskać poświadc</w:t>
      </w:r>
      <w:r w:rsidR="004154E9">
        <w:rPr>
          <w:rFonts w:ascii="Tahoma" w:eastAsia="Times New Roman" w:hAnsi="Tahoma" w:cs="Tahoma"/>
          <w:color w:val="000000"/>
        </w:rPr>
        <w:t xml:space="preserve">zenia, o którym mowa w </w:t>
      </w:r>
      <w:proofErr w:type="spellStart"/>
      <w:r w:rsidR="004154E9">
        <w:rPr>
          <w:rFonts w:ascii="Tahoma" w:eastAsia="Times New Roman" w:hAnsi="Tahoma" w:cs="Tahoma"/>
          <w:color w:val="000000"/>
        </w:rPr>
        <w:t>pkt</w:t>
      </w:r>
      <w:proofErr w:type="spellEnd"/>
      <w:r w:rsidR="004154E9">
        <w:rPr>
          <w:rFonts w:ascii="Tahoma" w:eastAsia="Times New Roman" w:hAnsi="Tahoma" w:cs="Tahoma"/>
          <w:color w:val="000000"/>
        </w:rPr>
        <w:t xml:space="preserve"> a). 9</w:t>
      </w:r>
      <w:r w:rsidRPr="004F244E">
        <w:rPr>
          <w:rFonts w:ascii="Tahoma" w:eastAsia="Times New Roman" w:hAnsi="Tahoma" w:cs="Tahoma"/>
          <w:color w:val="000000"/>
        </w:rPr>
        <w:t xml:space="preserve">) Odpowiednie pełnomocnictwa/upoważnienia tylko </w:t>
      </w:r>
      <w:r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color w:val="000000"/>
        </w:rPr>
        <w:t>w sytuacjach podpisania oferty przez osoby upoważnione do składania oświadczeń woli w imieniu Wykonawcy, inne niż to wynika z dokumentów załączonych przez Wykonawcę.</w:t>
      </w:r>
    </w:p>
    <w:p w:rsidR="004F244E" w:rsidRPr="004F244E" w:rsidRDefault="004F244E" w:rsidP="004F244E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4F244E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>:</w:t>
      </w:r>
      <w:r w:rsidRPr="004F244E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4F244E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>:</w:t>
      </w:r>
    </w:p>
    <w:p w:rsidR="004F244E" w:rsidRPr="004F244E" w:rsidRDefault="004F244E" w:rsidP="004F244E">
      <w:pPr>
        <w:numPr>
          <w:ilvl w:val="0"/>
          <w:numId w:val="4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1. Cena - 96 </w:t>
      </w:r>
    </w:p>
    <w:p w:rsidR="004F244E" w:rsidRPr="004F244E" w:rsidRDefault="004F244E" w:rsidP="004F244E">
      <w:pPr>
        <w:numPr>
          <w:ilvl w:val="0"/>
          <w:numId w:val="4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color w:val="000000"/>
        </w:rPr>
        <w:t xml:space="preserve">2. termin dostawy - 4 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IV.4.1)</w:t>
      </w:r>
      <w:r w:rsidRPr="004F244E">
        <w:rPr>
          <w:rFonts w:ascii="Tahoma" w:eastAsia="Times New Roman" w:hAnsi="Tahoma" w:cs="Tahoma"/>
          <w:color w:val="000000"/>
        </w:rPr>
        <w:t xml:space="preserve">  </w:t>
      </w:r>
      <w:r w:rsidRPr="004F244E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4F244E">
        <w:rPr>
          <w:rFonts w:ascii="Tahoma" w:eastAsia="Times New Roman" w:hAnsi="Tahoma" w:cs="Tahoma"/>
          <w:color w:val="000000"/>
        </w:rPr>
        <w:t>www.dwup.pl</w:t>
      </w:r>
      <w:r w:rsidRPr="004F244E">
        <w:rPr>
          <w:rFonts w:ascii="Tahoma" w:eastAsia="Times New Roman" w:hAnsi="Tahoma" w:cs="Tahoma"/>
          <w:color w:val="000000"/>
        </w:rPr>
        <w:br/>
      </w:r>
      <w:r w:rsidRPr="004F244E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4F244E">
        <w:rPr>
          <w:rFonts w:ascii="Tahoma" w:eastAsia="Times New Roman" w:hAnsi="Tahoma" w:cs="Tahoma"/>
          <w:color w:val="000000"/>
        </w:rPr>
        <w:t xml:space="preserve"> Dolnośląski Wojewódzki Urząd Pracy Al. Armii Krajowej 54 50-541 Wrocław, pok.314..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Pr="004F244E">
        <w:rPr>
          <w:rFonts w:ascii="Tahoma" w:eastAsia="Times New Roman" w:hAnsi="Tahoma" w:cs="Tahoma"/>
          <w:color w:val="000000"/>
        </w:rPr>
        <w:t xml:space="preserve"> 28.04.2015 godzina 11:00, miejsce: Dolnośląski Wojewódzki Urząd Pracy Al. Armii Krajowej 54 50-541 Wrocław, </w:t>
      </w:r>
      <w:proofErr w:type="spellStart"/>
      <w:r w:rsidRPr="004F244E">
        <w:rPr>
          <w:rFonts w:ascii="Tahoma" w:eastAsia="Times New Roman" w:hAnsi="Tahoma" w:cs="Tahoma"/>
          <w:color w:val="000000"/>
        </w:rPr>
        <w:t>kancelaria</w:t>
      </w:r>
      <w:proofErr w:type="spellEnd"/>
      <w:r w:rsidRPr="004F244E">
        <w:rPr>
          <w:rFonts w:ascii="Tahoma" w:eastAsia="Times New Roman" w:hAnsi="Tahoma" w:cs="Tahoma"/>
          <w:color w:val="000000"/>
        </w:rPr>
        <w:t>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4F244E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4F244E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4F244E">
        <w:rPr>
          <w:rFonts w:ascii="Tahoma" w:eastAsia="Times New Roman" w:hAnsi="Tahoma" w:cs="Tahoma"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color w:val="000000"/>
        </w:rPr>
        <w:t xml:space="preserve"> jest współfinansowany ze środków Unii Europejskiej w ramach Europejskiego Funduszu Społecznego..</w:t>
      </w:r>
    </w:p>
    <w:p w:rsidR="004F244E" w:rsidRPr="004F244E" w:rsidRDefault="004F244E" w:rsidP="004F244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4F244E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4F244E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4F244E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4F244E">
        <w:rPr>
          <w:rFonts w:ascii="Tahoma" w:eastAsia="Times New Roman" w:hAnsi="Tahoma" w:cs="Tahoma"/>
          <w:color w:val="000000"/>
        </w:rPr>
        <w:t>nie</w:t>
      </w: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sectPr w:rsidR="004F244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C" w:rsidRDefault="0042383C">
      <w:r>
        <w:separator/>
      </w:r>
    </w:p>
  </w:endnote>
  <w:endnote w:type="continuationSeparator" w:id="0">
    <w:p w:rsidR="0042383C" w:rsidRDefault="004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846311">
        <w:pPr>
          <w:pStyle w:val="Stopka"/>
          <w:jc w:val="right"/>
        </w:pPr>
        <w:fldSimple w:instr=" PAGE   \* MERGEFORMAT ">
          <w:r w:rsidR="004909C0">
            <w:rPr>
              <w:noProof/>
            </w:rPr>
            <w:t>5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846311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C" w:rsidRDefault="0042383C">
      <w:r>
        <w:separator/>
      </w:r>
    </w:p>
  </w:footnote>
  <w:footnote w:type="continuationSeparator" w:id="0">
    <w:p w:rsidR="0042383C" w:rsidRDefault="0042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6311" w:rsidRPr="00846311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846311" w:rsidRPr="00846311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3DE"/>
    <w:multiLevelType w:val="multilevel"/>
    <w:tmpl w:val="8A7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84AD6"/>
    <w:multiLevelType w:val="multilevel"/>
    <w:tmpl w:val="4D6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42EE5"/>
    <w:multiLevelType w:val="multilevel"/>
    <w:tmpl w:val="709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E50BC"/>
    <w:multiLevelType w:val="hybridMultilevel"/>
    <w:tmpl w:val="815C03B6"/>
    <w:lvl w:ilvl="0" w:tplc="9BEE8B92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565C81"/>
    <w:multiLevelType w:val="multilevel"/>
    <w:tmpl w:val="09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767DAE"/>
    <w:multiLevelType w:val="multilevel"/>
    <w:tmpl w:val="9D9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17A1C"/>
    <w:multiLevelType w:val="hybridMultilevel"/>
    <w:tmpl w:val="25685E56"/>
    <w:lvl w:ilvl="0" w:tplc="F4B4443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0"/>
  </w:num>
  <w:num w:numId="23">
    <w:abstractNumId w:val="2"/>
  </w:num>
  <w:num w:numId="24">
    <w:abstractNumId w:val="27"/>
  </w:num>
  <w:num w:numId="25">
    <w:abstractNumId w:val="34"/>
  </w:num>
  <w:num w:numId="26">
    <w:abstractNumId w:val="5"/>
  </w:num>
  <w:num w:numId="27">
    <w:abstractNumId w:val="41"/>
  </w:num>
  <w:num w:numId="28">
    <w:abstractNumId w:val="31"/>
  </w:num>
  <w:num w:numId="29">
    <w:abstractNumId w:val="43"/>
  </w:num>
  <w:num w:numId="30">
    <w:abstractNumId w:val="20"/>
  </w:num>
  <w:num w:numId="31">
    <w:abstractNumId w:val="3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0"/>
  </w:num>
  <w:num w:numId="36">
    <w:abstractNumId w:val="6"/>
  </w:num>
  <w:num w:numId="37">
    <w:abstractNumId w:val="1"/>
  </w:num>
  <w:num w:numId="38">
    <w:abstractNumId w:val="28"/>
  </w:num>
  <w:num w:numId="39">
    <w:abstractNumId w:val="25"/>
  </w:num>
  <w:num w:numId="40">
    <w:abstractNumId w:val="42"/>
  </w:num>
  <w:num w:numId="41">
    <w:abstractNumId w:val="17"/>
  </w:num>
  <w:num w:numId="42">
    <w:abstractNumId w:val="35"/>
  </w:num>
  <w:num w:numId="43">
    <w:abstractNumId w:val="13"/>
  </w:num>
  <w:num w:numId="44">
    <w:abstractNumId w:val="7"/>
  </w:num>
  <w:num w:numId="45">
    <w:abstractNumId w:val="30"/>
  </w:num>
  <w:num w:numId="46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50AB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E2112"/>
    <w:rsid w:val="000E3214"/>
    <w:rsid w:val="00101CC8"/>
    <w:rsid w:val="0010513D"/>
    <w:rsid w:val="00127ED6"/>
    <w:rsid w:val="00132104"/>
    <w:rsid w:val="00135F6E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5A4D"/>
    <w:rsid w:val="00187208"/>
    <w:rsid w:val="0018794B"/>
    <w:rsid w:val="00187D43"/>
    <w:rsid w:val="001C1218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50CD"/>
    <w:rsid w:val="002C7351"/>
    <w:rsid w:val="002C7C29"/>
    <w:rsid w:val="002D3B86"/>
    <w:rsid w:val="002D755E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828E3"/>
    <w:rsid w:val="004909C0"/>
    <w:rsid w:val="0049223B"/>
    <w:rsid w:val="00492C1B"/>
    <w:rsid w:val="004971C4"/>
    <w:rsid w:val="004A719E"/>
    <w:rsid w:val="004B23F7"/>
    <w:rsid w:val="004B3D09"/>
    <w:rsid w:val="004B531E"/>
    <w:rsid w:val="004B5C7F"/>
    <w:rsid w:val="004B73E0"/>
    <w:rsid w:val="004B7B7A"/>
    <w:rsid w:val="004D615F"/>
    <w:rsid w:val="004E1FCB"/>
    <w:rsid w:val="004F244E"/>
    <w:rsid w:val="004F4473"/>
    <w:rsid w:val="004F45B8"/>
    <w:rsid w:val="00505B81"/>
    <w:rsid w:val="00505CDA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2372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5E2"/>
    <w:rsid w:val="005F0343"/>
    <w:rsid w:val="005F3A3A"/>
    <w:rsid w:val="005F5A95"/>
    <w:rsid w:val="0060073B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E0E95"/>
    <w:rsid w:val="006E424F"/>
    <w:rsid w:val="006F2B64"/>
    <w:rsid w:val="006F5548"/>
    <w:rsid w:val="00710CFF"/>
    <w:rsid w:val="007117C0"/>
    <w:rsid w:val="00724146"/>
    <w:rsid w:val="00731B7F"/>
    <w:rsid w:val="0073768D"/>
    <w:rsid w:val="007436FF"/>
    <w:rsid w:val="007607B8"/>
    <w:rsid w:val="00761F38"/>
    <w:rsid w:val="00764E41"/>
    <w:rsid w:val="007776F9"/>
    <w:rsid w:val="00790325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1893"/>
    <w:rsid w:val="007C29CA"/>
    <w:rsid w:val="007C3697"/>
    <w:rsid w:val="007D597F"/>
    <w:rsid w:val="007E3688"/>
    <w:rsid w:val="007F1275"/>
    <w:rsid w:val="00805F93"/>
    <w:rsid w:val="008123DB"/>
    <w:rsid w:val="00812A6A"/>
    <w:rsid w:val="00821851"/>
    <w:rsid w:val="00822C38"/>
    <w:rsid w:val="008258F1"/>
    <w:rsid w:val="0082779E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8F6745"/>
    <w:rsid w:val="00903E7E"/>
    <w:rsid w:val="0090735F"/>
    <w:rsid w:val="00910C2A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50182"/>
    <w:rsid w:val="0096402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97BF4"/>
    <w:rsid w:val="009A0D54"/>
    <w:rsid w:val="009A298E"/>
    <w:rsid w:val="009A57C6"/>
    <w:rsid w:val="009B194D"/>
    <w:rsid w:val="009B1A18"/>
    <w:rsid w:val="009B5887"/>
    <w:rsid w:val="009C23FC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1374C"/>
    <w:rsid w:val="00A25E97"/>
    <w:rsid w:val="00A271D7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2330"/>
    <w:rsid w:val="00B366BF"/>
    <w:rsid w:val="00B369FA"/>
    <w:rsid w:val="00B36C06"/>
    <w:rsid w:val="00B506F9"/>
    <w:rsid w:val="00B54C40"/>
    <w:rsid w:val="00B550F2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D3A7E"/>
    <w:rsid w:val="00BE484A"/>
    <w:rsid w:val="00C036EA"/>
    <w:rsid w:val="00C2308A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D03049"/>
    <w:rsid w:val="00D04F11"/>
    <w:rsid w:val="00D0785C"/>
    <w:rsid w:val="00D10711"/>
    <w:rsid w:val="00D16853"/>
    <w:rsid w:val="00D21F05"/>
    <w:rsid w:val="00D2219B"/>
    <w:rsid w:val="00D5248A"/>
    <w:rsid w:val="00D533F2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1076E"/>
    <w:rsid w:val="00E130CA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B655D"/>
    <w:rsid w:val="00EC2A61"/>
    <w:rsid w:val="00EC2BA5"/>
    <w:rsid w:val="00EC3E67"/>
    <w:rsid w:val="00EC4DC8"/>
    <w:rsid w:val="00EC53F2"/>
    <w:rsid w:val="00EC7D18"/>
    <w:rsid w:val="00EE251C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C780-FC2D-4215-8D5C-2A00F62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322</TotalTime>
  <Pages>5</Pages>
  <Words>1749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139</cp:revision>
  <cp:lastPrinted>2015-04-20T06:38:00Z</cp:lastPrinted>
  <dcterms:created xsi:type="dcterms:W3CDTF">2015-04-09T07:59:00Z</dcterms:created>
  <dcterms:modified xsi:type="dcterms:W3CDTF">2015-04-20T09:23:00Z</dcterms:modified>
</cp:coreProperties>
</file>